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0B5" w:rsidRPr="00F106C1" w:rsidRDefault="002850B5" w:rsidP="002850B5">
      <w:pPr>
        <w:pStyle w:val="a3"/>
        <w:tabs>
          <w:tab w:val="right" w:pos="10440"/>
          <w:tab w:val="right" w:pos="13323"/>
        </w:tabs>
        <w:rPr>
          <w:rFonts w:cs="Arial"/>
          <w:b w:val="0"/>
          <w:sz w:val="24"/>
          <w:szCs w:val="24"/>
        </w:rPr>
      </w:pPr>
      <w:r>
        <w:rPr>
          <w:rFonts w:cs="Arial"/>
          <w:b w:val="0"/>
          <w:sz w:val="24"/>
          <w:szCs w:val="24"/>
        </w:rPr>
        <w:t>3GPP TSG-RAN WG1 Meeting #</w:t>
      </w:r>
      <w:r>
        <w:rPr>
          <w:rFonts w:cs="Arial" w:hint="eastAsia"/>
          <w:b w:val="0"/>
          <w:sz w:val="24"/>
          <w:szCs w:val="24"/>
        </w:rPr>
        <w:t>91</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9A52AF">
        <w:rPr>
          <w:rFonts w:cs="Arial" w:hint="eastAsia"/>
          <w:b w:val="0"/>
          <w:sz w:val="24"/>
          <w:szCs w:val="24"/>
        </w:rPr>
        <w:t xml:space="preserve">    </w:t>
      </w:r>
      <w:bookmarkStart w:id="0" w:name="_GoBack"/>
      <w:bookmarkEnd w:id="0"/>
      <w:r>
        <w:rPr>
          <w:rFonts w:cs="Arial" w:hint="eastAsia"/>
          <w:b w:val="0"/>
          <w:sz w:val="24"/>
          <w:szCs w:val="24"/>
        </w:rPr>
        <w:t xml:space="preserve"> </w:t>
      </w:r>
      <w:r w:rsidR="009A52AF" w:rsidRPr="009A52AF">
        <w:rPr>
          <w:rFonts w:cs="Arial"/>
          <w:b w:val="0"/>
          <w:sz w:val="24"/>
          <w:szCs w:val="24"/>
        </w:rPr>
        <w:t>R1-1720831</w:t>
      </w:r>
    </w:p>
    <w:p w:rsidR="002850B5" w:rsidRPr="00F106C1" w:rsidRDefault="002850B5" w:rsidP="002850B5">
      <w:r>
        <w:rPr>
          <w:rFonts w:ascii="Arial" w:hAnsi="Arial"/>
          <w:noProof/>
          <w:sz w:val="24"/>
          <w:szCs w:val="24"/>
          <w:lang w:val="en-US" w:eastAsia="ja-JP"/>
        </w:rPr>
        <w:t xml:space="preserve">Reno, USA, November </w:t>
      </w:r>
      <w:r>
        <w:rPr>
          <w:rFonts w:ascii="Arial" w:hAnsi="Arial" w:hint="eastAsia"/>
          <w:noProof/>
          <w:sz w:val="24"/>
          <w:szCs w:val="24"/>
          <w:lang w:val="en-US" w:eastAsia="ja-JP"/>
        </w:rPr>
        <w:t xml:space="preserve">27 </w:t>
      </w:r>
      <w:r>
        <w:rPr>
          <w:rFonts w:ascii="Arial" w:hAnsi="Arial"/>
          <w:noProof/>
          <w:sz w:val="24"/>
          <w:szCs w:val="24"/>
          <w:lang w:val="en-US" w:eastAsia="ja-JP"/>
        </w:rPr>
        <w:t>–</w:t>
      </w:r>
      <w:r>
        <w:rPr>
          <w:rFonts w:ascii="Arial" w:hAnsi="Arial" w:hint="eastAsia"/>
          <w:noProof/>
          <w:sz w:val="24"/>
          <w:szCs w:val="24"/>
          <w:lang w:val="en-US" w:eastAsia="ja-JP"/>
        </w:rPr>
        <w:t xml:space="preserve"> </w:t>
      </w:r>
      <w:r w:rsidR="005B03BF">
        <w:rPr>
          <w:rFonts w:ascii="Arial" w:hAnsi="Arial" w:hint="eastAsia"/>
          <w:noProof/>
          <w:sz w:val="24"/>
          <w:szCs w:val="24"/>
          <w:lang w:val="en-US" w:eastAsia="ja-JP"/>
        </w:rPr>
        <w:t>December</w:t>
      </w:r>
      <w:r>
        <w:rPr>
          <w:rFonts w:ascii="Arial" w:hAnsi="Arial" w:hint="eastAsia"/>
          <w:noProof/>
          <w:sz w:val="24"/>
          <w:szCs w:val="24"/>
          <w:lang w:val="en-US" w:eastAsia="ja-JP"/>
        </w:rPr>
        <w:t xml:space="preserve"> </w:t>
      </w:r>
      <w:r>
        <w:rPr>
          <w:rFonts w:ascii="Arial" w:hAnsi="Arial"/>
          <w:noProof/>
          <w:sz w:val="24"/>
          <w:szCs w:val="24"/>
          <w:lang w:val="en-US" w:eastAsia="ja-JP"/>
        </w:rPr>
        <w:t>1</w:t>
      </w:r>
      <w:r w:rsidRPr="004428EF">
        <w:rPr>
          <w:rFonts w:ascii="Arial" w:hAnsi="Arial"/>
          <w:noProof/>
          <w:sz w:val="24"/>
          <w:szCs w:val="24"/>
          <w:lang w:val="en-US" w:eastAsia="ja-JP"/>
        </w:rPr>
        <w:t>, 201</w:t>
      </w:r>
      <w:r>
        <w:rPr>
          <w:rFonts w:ascii="Arial" w:hAnsi="Arial" w:hint="eastAsia"/>
          <w:noProof/>
          <w:sz w:val="24"/>
          <w:szCs w:val="24"/>
          <w:lang w:val="en-US" w:eastAsia="ja-JP"/>
        </w:rPr>
        <w:t>7</w:t>
      </w:r>
    </w:p>
    <w:p w:rsidR="00AB702C"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2074">
        <w:rPr>
          <w:rFonts w:ascii="Arial" w:hAnsi="Arial"/>
          <w:sz w:val="24"/>
          <w:lang w:val="en-US"/>
        </w:rPr>
        <w:tab/>
      </w:r>
      <w:r w:rsidR="0010420A" w:rsidRPr="008577C8">
        <w:rPr>
          <w:rFonts w:ascii="Arial" w:hAnsi="Arial" w:hint="eastAsia"/>
          <w:sz w:val="24"/>
          <w:lang w:val="en-US" w:eastAsia="ja-JP"/>
        </w:rPr>
        <w:t>7.6</w:t>
      </w:r>
      <w:r w:rsidR="00894920" w:rsidRPr="008577C8">
        <w:rPr>
          <w:rFonts w:ascii="Arial" w:hAnsi="Arial" w:hint="eastAsia"/>
          <w:sz w:val="24"/>
          <w:lang w:val="en-US" w:eastAsia="ja-JP"/>
        </w:rPr>
        <w:t>.</w:t>
      </w:r>
      <w:r w:rsidR="00D43F0E" w:rsidRPr="008577C8">
        <w:rPr>
          <w:rFonts w:ascii="Arial" w:hAnsi="Arial" w:hint="eastAsia"/>
          <w:sz w:val="24"/>
          <w:lang w:val="en-US" w:eastAsia="ja-JP"/>
        </w:rPr>
        <w:t>2</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rPr>
      </w:pPr>
      <w:r>
        <w:rPr>
          <w:rFonts w:ascii="Arial" w:hAnsi="Arial"/>
          <w:b/>
          <w:sz w:val="24"/>
          <w:lang w:val="en-US"/>
        </w:rPr>
        <w:t>Title:</w:t>
      </w:r>
      <w:r w:rsidR="00703616">
        <w:rPr>
          <w:rFonts w:ascii="Arial" w:hAnsi="Arial"/>
          <w:sz w:val="24"/>
          <w:lang w:val="en-US"/>
        </w:rPr>
        <w:tab/>
      </w:r>
      <w:r w:rsidR="0001426C">
        <w:rPr>
          <w:rFonts w:ascii="Arial" w:hAnsi="Arial" w:hint="eastAsia"/>
          <w:sz w:val="24"/>
          <w:lang w:val="en-US" w:eastAsia="ja-JP"/>
        </w:rPr>
        <w:t>NR-NR CA</w:t>
      </w:r>
      <w:r w:rsidR="00441FF8">
        <w:rPr>
          <w:rFonts w:ascii="Arial" w:hAnsi="Arial" w:hint="eastAsia"/>
          <w:sz w:val="24"/>
          <w:lang w:val="en-US" w:eastAsia="ja-JP"/>
        </w:rPr>
        <w:t xml:space="preserve"> power control</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2850B5" w:rsidRPr="002850B5" w:rsidRDefault="002850B5" w:rsidP="002850B5">
      <w:pPr>
        <w:spacing w:before="240"/>
        <w:ind w:firstLineChars="50" w:firstLine="100"/>
        <w:jc w:val="both"/>
        <w:rPr>
          <w:lang w:eastAsia="ja-JP"/>
        </w:rPr>
      </w:pPr>
      <w:r>
        <w:rPr>
          <w:rFonts w:hint="eastAsia"/>
          <w:lang w:eastAsia="ja-JP"/>
        </w:rPr>
        <w:t>Alt</w:t>
      </w:r>
      <w:r w:rsidR="00C9709A">
        <w:rPr>
          <w:rFonts w:hint="eastAsia"/>
          <w:lang w:eastAsia="ja-JP"/>
        </w:rPr>
        <w:t>hough RAN1 defined PUSCH, PUCCH and</w:t>
      </w:r>
      <w:r>
        <w:rPr>
          <w:rFonts w:hint="eastAsia"/>
          <w:lang w:eastAsia="ja-JP"/>
        </w:rPr>
        <w:t xml:space="preserve"> SRS transmission </w:t>
      </w:r>
      <w:r w:rsidR="00647BB8">
        <w:rPr>
          <w:rFonts w:hint="eastAsia"/>
          <w:lang w:eastAsia="ja-JP"/>
        </w:rPr>
        <w:t xml:space="preserve">power </w:t>
      </w:r>
      <w:r w:rsidR="00C9709A">
        <w:rPr>
          <w:rFonts w:hint="eastAsia"/>
          <w:lang w:eastAsia="ja-JP"/>
        </w:rPr>
        <w:t xml:space="preserve">formula for a serving cell </w:t>
      </w:r>
      <w:r w:rsidR="00C9709A" w:rsidRPr="00C9709A">
        <w:rPr>
          <w:rFonts w:hint="eastAsia"/>
          <w:i/>
          <w:lang w:eastAsia="ja-JP"/>
        </w:rPr>
        <w:t>c</w:t>
      </w:r>
      <w:r>
        <w:rPr>
          <w:rFonts w:hint="eastAsia"/>
          <w:lang w:eastAsia="ja-JP"/>
        </w:rPr>
        <w:t xml:space="preserve"> so far, there is no agreement to handle multi-carrier case, i.e., NR-NR CA. In this contribution we discuss it.</w:t>
      </w:r>
    </w:p>
    <w:p w:rsidR="00AA5F4F" w:rsidRDefault="00AA5F4F" w:rsidP="00AA5F4F">
      <w:pPr>
        <w:pStyle w:val="10"/>
        <w:tabs>
          <w:tab w:val="clear" w:pos="432"/>
          <w:tab w:val="num" w:pos="522"/>
        </w:tabs>
        <w:ind w:left="522" w:hanging="522"/>
        <w:jc w:val="both"/>
        <w:rPr>
          <w:lang w:val="en-US" w:eastAsia="ja-JP"/>
        </w:rPr>
      </w:pPr>
      <w:r w:rsidRPr="0081033D">
        <w:rPr>
          <w:rFonts w:hint="eastAsia"/>
          <w:lang w:val="en-US" w:eastAsia="ja-JP"/>
        </w:rPr>
        <w:t>Discussion</w:t>
      </w:r>
    </w:p>
    <w:p w:rsidR="00647BB8" w:rsidRPr="00647BB8" w:rsidRDefault="00647BB8" w:rsidP="00647BB8">
      <w:pPr>
        <w:ind w:firstLineChars="50" w:firstLine="100"/>
        <w:rPr>
          <w:lang w:val="en-US" w:eastAsia="ja-JP"/>
        </w:rPr>
      </w:pPr>
      <w:r>
        <w:rPr>
          <w:rFonts w:hint="eastAsia"/>
          <w:lang w:eastAsia="ja-JP"/>
        </w:rPr>
        <w:t>In</w:t>
      </w:r>
      <w:r w:rsidRPr="0081033D">
        <w:rPr>
          <w:rFonts w:hint="eastAsia"/>
          <w:lang w:eastAsia="ja-JP"/>
        </w:rPr>
        <w:t xml:space="preserve"> RAN1-NR#3</w:t>
      </w:r>
      <w:r>
        <w:rPr>
          <w:rFonts w:hint="eastAsia"/>
          <w:lang w:eastAsia="ja-JP"/>
        </w:rPr>
        <w:t xml:space="preserve"> and RAN1#90bis</w:t>
      </w:r>
      <w:r w:rsidRPr="0081033D">
        <w:rPr>
          <w:rFonts w:hint="eastAsia"/>
          <w:lang w:eastAsia="ja-JP"/>
        </w:rPr>
        <w:t xml:space="preserve">, RAN1 </w:t>
      </w:r>
      <w:r>
        <w:rPr>
          <w:rFonts w:hint="eastAsia"/>
          <w:lang w:eastAsia="ja-JP"/>
        </w:rPr>
        <w:t>defined transmission power formula for PUSCH, PUCCH and SRS transmission</w:t>
      </w:r>
      <w:r w:rsidRPr="0081033D">
        <w:rPr>
          <w:rFonts w:hint="eastAsia"/>
          <w:lang w:eastAsia="ja-JP"/>
        </w:rPr>
        <w:t xml:space="preserve">. </w:t>
      </w:r>
      <w:r>
        <w:rPr>
          <w:rFonts w:hint="eastAsia"/>
          <w:lang w:eastAsia="ja-JP"/>
        </w:rPr>
        <w:t>Subseque</w:t>
      </w:r>
      <w:r w:rsidRPr="0081033D">
        <w:rPr>
          <w:rFonts w:hint="eastAsia"/>
          <w:lang w:eastAsia="ja-JP"/>
        </w:rPr>
        <w:t>ntly, p</w:t>
      </w:r>
      <w:r>
        <w:rPr>
          <w:rFonts w:hint="eastAsia"/>
          <w:lang w:eastAsia="ja-JP"/>
        </w:rPr>
        <w:t>ower control for NR-NR CA should</w:t>
      </w:r>
      <w:r w:rsidRPr="0081033D">
        <w:rPr>
          <w:rFonts w:hint="eastAsia"/>
          <w:lang w:eastAsia="ja-JP"/>
        </w:rPr>
        <w:t xml:space="preserve"> be discussed.</w:t>
      </w:r>
      <w:r>
        <w:rPr>
          <w:rFonts w:hint="eastAsia"/>
          <w:lang w:eastAsia="ja-JP"/>
        </w:rPr>
        <w:t xml:space="preserve"> We discuss power control for each channel</w:t>
      </w:r>
      <w:r w:rsidR="00C9709A">
        <w:rPr>
          <w:rFonts w:hint="eastAsia"/>
          <w:lang w:eastAsia="ja-JP"/>
        </w:rPr>
        <w:t>, i.e., PUSCH, PUCCH and SRS,</w:t>
      </w:r>
      <w:r>
        <w:rPr>
          <w:rFonts w:hint="eastAsia"/>
          <w:lang w:eastAsia="ja-JP"/>
        </w:rPr>
        <w:t xml:space="preserve"> one by one.</w:t>
      </w:r>
    </w:p>
    <w:p w:rsidR="00B62D40" w:rsidRPr="0081033D" w:rsidRDefault="00647BB8">
      <w:pPr>
        <w:pStyle w:val="2"/>
        <w:rPr>
          <w:lang w:eastAsia="ja-JP"/>
        </w:rPr>
      </w:pPr>
      <w:r>
        <w:rPr>
          <w:rFonts w:hint="eastAsia"/>
          <w:lang w:eastAsia="ja-JP"/>
        </w:rPr>
        <w:t>PUSCH</w:t>
      </w:r>
    </w:p>
    <w:p w:rsidR="00647BB8" w:rsidRDefault="00647BB8" w:rsidP="001170C6">
      <w:pPr>
        <w:jc w:val="both"/>
        <w:rPr>
          <w:lang w:eastAsia="ja-JP"/>
        </w:rPr>
      </w:pPr>
      <w:r>
        <w:rPr>
          <w:rFonts w:hint="eastAsia"/>
          <w:lang w:eastAsia="ja-JP"/>
        </w:rPr>
        <w:t xml:space="preserve"> </w:t>
      </w:r>
      <w:r w:rsidR="00790B21">
        <w:rPr>
          <w:rFonts w:hint="eastAsia"/>
          <w:lang w:eastAsia="ja-JP"/>
        </w:rPr>
        <w:t xml:space="preserve">Since RAN1#91 is the last meeting </w:t>
      </w:r>
      <w:r w:rsidR="00D87C11">
        <w:rPr>
          <w:lang w:eastAsia="ja-JP"/>
        </w:rPr>
        <w:t>targeting</w:t>
      </w:r>
      <w:r w:rsidR="00D87C11">
        <w:rPr>
          <w:rFonts w:hint="eastAsia"/>
          <w:lang w:eastAsia="ja-JP"/>
        </w:rPr>
        <w:t xml:space="preserve"> Rel.15 NSA and SA common aspect</w:t>
      </w:r>
      <w:r w:rsidR="00790B21">
        <w:rPr>
          <w:rFonts w:hint="eastAsia"/>
          <w:lang w:eastAsia="ja-JP"/>
        </w:rPr>
        <w:t>s, reusing as much</w:t>
      </w:r>
      <w:r w:rsidR="00790B21" w:rsidRPr="0081033D">
        <w:rPr>
          <w:rFonts w:hint="eastAsia"/>
          <w:lang w:eastAsia="ja-JP"/>
        </w:rPr>
        <w:t xml:space="preserve"> L</w:t>
      </w:r>
      <w:r w:rsidR="00790B21">
        <w:rPr>
          <w:rFonts w:hint="eastAsia"/>
          <w:lang w:eastAsia="ja-JP"/>
        </w:rPr>
        <w:t>TE</w:t>
      </w:r>
      <w:r w:rsidR="00B35CEB">
        <w:rPr>
          <w:rFonts w:hint="eastAsia"/>
          <w:lang w:eastAsia="ja-JP"/>
        </w:rPr>
        <w:t>-A</w:t>
      </w:r>
      <w:r w:rsidR="00790B21">
        <w:rPr>
          <w:rFonts w:hint="eastAsia"/>
          <w:lang w:eastAsia="ja-JP"/>
        </w:rPr>
        <w:t xml:space="preserve"> mechanism as possible </w:t>
      </w:r>
      <w:r w:rsidR="00B35CEB">
        <w:rPr>
          <w:rFonts w:hint="eastAsia"/>
          <w:lang w:eastAsia="ja-JP"/>
        </w:rPr>
        <w:t>is reasonable solution to finalize</w:t>
      </w:r>
      <w:r w:rsidR="00790B21">
        <w:rPr>
          <w:rFonts w:hint="eastAsia"/>
          <w:lang w:eastAsia="ja-JP"/>
        </w:rPr>
        <w:t xml:space="preserve"> remaining issues. In Re1.15 NR, neither simultaneous transmission of PUSCH without UCI and PUCCH nor simultaneous transmission of </w:t>
      </w:r>
      <w:r w:rsidR="002C2D18">
        <w:rPr>
          <w:rFonts w:hint="eastAsia"/>
          <w:lang w:eastAsia="ja-JP"/>
        </w:rPr>
        <w:t>PUSCH with UCI and PUCCH among</w:t>
      </w:r>
      <w:r w:rsidR="00790B21">
        <w:rPr>
          <w:rFonts w:hint="eastAsia"/>
          <w:lang w:eastAsia="ja-JP"/>
        </w:rPr>
        <w:t xml:space="preserve"> CCs are supported. Hence, we </w:t>
      </w:r>
      <w:r w:rsidR="00B35CEB">
        <w:rPr>
          <w:rFonts w:hint="eastAsia"/>
          <w:lang w:eastAsia="ja-JP"/>
        </w:rPr>
        <w:t xml:space="preserve">can </w:t>
      </w:r>
      <w:r w:rsidR="00790B21">
        <w:rPr>
          <w:rFonts w:hint="eastAsia"/>
          <w:lang w:eastAsia="ja-JP"/>
        </w:rPr>
        <w:t xml:space="preserve">focus only on PUSCH-only transmission, although Rel.14 describes UE </w:t>
      </w:r>
      <w:r w:rsidR="00790B21">
        <w:rPr>
          <w:lang w:eastAsia="ja-JP"/>
        </w:rPr>
        <w:t>behaviour</w:t>
      </w:r>
      <w:r w:rsidR="00790B21">
        <w:rPr>
          <w:rFonts w:hint="eastAsia"/>
          <w:lang w:eastAsia="ja-JP"/>
        </w:rPr>
        <w:t xml:space="preserve"> for simultaneous transmission of PUSCH with/</w:t>
      </w:r>
      <w:r w:rsidR="00790B21">
        <w:rPr>
          <w:lang w:eastAsia="ja-JP"/>
        </w:rPr>
        <w:t>without</w:t>
      </w:r>
      <w:r w:rsidR="002C2D18">
        <w:rPr>
          <w:rFonts w:hint="eastAsia"/>
          <w:lang w:eastAsia="ja-JP"/>
        </w:rPr>
        <w:t xml:space="preserve"> UCI and PUCCH among</w:t>
      </w:r>
      <w:r w:rsidR="00790B21">
        <w:rPr>
          <w:rFonts w:hint="eastAsia"/>
          <w:lang w:eastAsia="ja-JP"/>
        </w:rPr>
        <w:t xml:space="preserve"> CCs. As a result, following mechanism should be reused.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647BB8" w:rsidTr="00655A24">
        <w:tc>
          <w:tcPr>
            <w:tcW w:w="9576" w:type="dxa"/>
          </w:tcPr>
          <w:p w:rsidR="00647BB8" w:rsidRPr="00E9040D" w:rsidRDefault="00647BB8" w:rsidP="00655A24">
            <w:r>
              <w:t>If the UE is not configured with an SCG or a PUCCH-Scell, and i</w:t>
            </w:r>
            <w:r w:rsidRPr="00E9040D">
              <w:t xml:space="preserve">f the UE has PUSCH transmission with UCI on serving cell </w:t>
            </w:r>
            <w:r w:rsidRPr="00E9040D">
              <w:rPr>
                <w:i/>
              </w:rPr>
              <w:t>j</w:t>
            </w:r>
            <w:r w:rsidRPr="00E9040D">
              <w:t xml:space="preserve"> and PUSCH without UCI in any of the remaining serving cells, and the total transmit power of the UE would exceed </w:t>
            </w:r>
            <w:r w:rsidRPr="00E9040D">
              <w:rPr>
                <w:iCs/>
                <w:position w:val="-12"/>
              </w:rPr>
              <w:object w:dxaOrig="8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20.15pt" o:ole="">
                  <v:imagedata r:id="rId8" o:title=""/>
                </v:shape>
                <o:OLEObject Type="Embed" ProgID="Equation.3" ShapeID="_x0000_i1025" DrawAspect="Content" ObjectID="_1572441517" r:id="rId9"/>
              </w:object>
            </w:r>
            <w:r w:rsidRPr="00E9040D">
              <w:t xml:space="preserve">, the UE scales </w:t>
            </w:r>
            <w:r w:rsidRPr="00E9040D">
              <w:rPr>
                <w:iCs/>
                <w:position w:val="-12"/>
              </w:rPr>
              <w:object w:dxaOrig="1060" w:dyaOrig="360">
                <v:shape id="_x0000_i1026" type="#_x0000_t75" style="width:53pt;height:18.45pt" o:ole="">
                  <v:imagedata r:id="rId10" o:title=""/>
                </v:shape>
                <o:OLEObject Type="Embed" ProgID="Equation.3" ShapeID="_x0000_i1026" DrawAspect="Content" ObjectID="_1572441518" r:id="rId11"/>
              </w:object>
            </w:r>
            <w:r w:rsidRPr="00E9040D">
              <w:t xml:space="preserve">for the serving cells without UCI in subframe </w:t>
            </w:r>
            <w:r w:rsidRPr="00E9040D">
              <w:rPr>
                <w:i/>
                <w:iCs/>
              </w:rPr>
              <w:t>i</w:t>
            </w:r>
            <w:r w:rsidRPr="00E9040D">
              <w:t xml:space="preserve"> such that the condition </w:t>
            </w:r>
          </w:p>
          <w:p w:rsidR="00647BB8" w:rsidRPr="00E9040D" w:rsidRDefault="00C17896" w:rsidP="00655A24">
            <w:pPr>
              <w:pStyle w:val="EQ"/>
              <w:jc w:val="center"/>
            </w:pPr>
            <w:r w:rsidRPr="00C17896">
              <w:rPr>
                <w:position w:val="-36"/>
              </w:rPr>
              <w:object w:dxaOrig="4280" w:dyaOrig="700">
                <v:shape id="_x0000_i1027" type="#_x0000_t75" style="width:213.7pt;height:35.15pt" o:ole="">
                  <v:imagedata r:id="rId12" o:title=""/>
                </v:shape>
                <o:OLEObject Type="Embed" ProgID="Equation.3" ShapeID="_x0000_i1027" DrawAspect="Content" ObjectID="_1572441519" r:id="rId13"/>
              </w:object>
            </w:r>
          </w:p>
          <w:p w:rsidR="00647BB8" w:rsidRDefault="00647BB8" w:rsidP="00655A24">
            <w:pPr>
              <w:rPr>
                <w:iCs/>
              </w:rPr>
            </w:pPr>
            <w:r w:rsidRPr="00E9040D">
              <w:t xml:space="preserve">is satisfied where </w:t>
            </w:r>
            <w:r w:rsidRPr="00E9040D">
              <w:rPr>
                <w:iCs/>
                <w:position w:val="-14"/>
              </w:rPr>
              <w:object w:dxaOrig="1040" w:dyaOrig="380">
                <v:shape id="_x0000_i1028" type="#_x0000_t75" style="width:51.85pt;height:19pt" o:ole="">
                  <v:imagedata r:id="rId14" o:title=""/>
                </v:shape>
                <o:OLEObject Type="Embed" ProgID="Equation.3" ShapeID="_x0000_i1028" DrawAspect="Content" ObjectID="_1572441520" r:id="rId15"/>
              </w:object>
            </w:r>
            <w:r w:rsidRPr="00E9040D">
              <w:t> is the PUSCH transmit power for the cell with UCI and</w:t>
            </w:r>
            <w:r w:rsidRPr="00E9040D">
              <w:rPr>
                <w:iCs/>
                <w:position w:val="-10"/>
              </w:rPr>
              <w:object w:dxaOrig="420" w:dyaOrig="279">
                <v:shape id="_x0000_i1029" type="#_x0000_t75" style="width:21.3pt;height:14.4pt" o:ole="">
                  <v:imagedata r:id="rId16" o:title=""/>
                </v:shape>
                <o:OLEObject Type="Embed" ProgID="Equation.3" ShapeID="_x0000_i1029" DrawAspect="Content" ObjectID="_1572441521" r:id="rId17"/>
              </w:object>
            </w:r>
            <w:r w:rsidRPr="00E9040D">
              <w:t xml:space="preserve">is a scaling factor of </w:t>
            </w:r>
            <w:r w:rsidRPr="00E9040D">
              <w:rPr>
                <w:iCs/>
                <w:position w:val="-12"/>
              </w:rPr>
              <w:object w:dxaOrig="1060" w:dyaOrig="360">
                <v:shape id="_x0000_i1030" type="#_x0000_t75" style="width:53pt;height:18.45pt" o:ole="">
                  <v:imagedata r:id="rId10" o:title=""/>
                </v:shape>
                <o:OLEObject Type="Embed" ProgID="Equation.3" ShapeID="_x0000_i1030" DrawAspect="Content" ObjectID="_1572441522" r:id="rId18"/>
              </w:object>
            </w:r>
            <w:r w:rsidRPr="00E9040D">
              <w:t xml:space="preserve">for serving cell </w:t>
            </w:r>
            <w:r w:rsidRPr="00E9040D">
              <w:rPr>
                <w:iCs/>
                <w:position w:val="-6"/>
              </w:rPr>
              <w:object w:dxaOrig="160" w:dyaOrig="200">
                <v:shape id="_x0000_i1031" type="#_x0000_t75" style="width:8.05pt;height:10.35pt" o:ole="">
                  <v:imagedata r:id="rId19" o:title=""/>
                </v:shape>
                <o:OLEObject Type="Embed" ProgID="Equation.DSMT4" ShapeID="_x0000_i1031" DrawAspect="Content" ObjectID="_1572441523" r:id="rId20"/>
              </w:object>
            </w:r>
            <w:r w:rsidRPr="00E9040D">
              <w:t xml:space="preserve"> without UCI.  In this case, no power scaling is applied to </w:t>
            </w:r>
            <w:r w:rsidRPr="00E9040D">
              <w:rPr>
                <w:iCs/>
                <w:position w:val="-14"/>
              </w:rPr>
              <w:object w:dxaOrig="1040" w:dyaOrig="380">
                <v:shape id="_x0000_i1032" type="#_x0000_t75" style="width:51.85pt;height:19pt" o:ole="">
                  <v:imagedata r:id="rId14" o:title=""/>
                </v:shape>
                <o:OLEObject Type="Embed" ProgID="Equation.3" ShapeID="_x0000_i1032" DrawAspect="Content" ObjectID="_1572441524" r:id="rId21"/>
              </w:object>
            </w:r>
            <w:r w:rsidRPr="00E9040D">
              <w:rPr>
                <w:iCs/>
              </w:rPr>
              <w:t xml:space="preserve"> </w:t>
            </w:r>
            <w:r w:rsidRPr="00E9040D">
              <w:t>unless</w:t>
            </w:r>
            <w:r w:rsidRPr="00E9040D">
              <w:rPr>
                <w:iCs/>
                <w:position w:val="-42"/>
              </w:rPr>
              <w:object w:dxaOrig="2200" w:dyaOrig="740">
                <v:shape id="_x0000_i1033" type="#_x0000_t75" style="width:109.45pt;height:36.85pt" o:ole="">
                  <v:imagedata r:id="rId22" o:title=""/>
                </v:shape>
                <o:OLEObject Type="Embed" ProgID="Equation.3" ShapeID="_x0000_i1033" DrawAspect="Content" ObjectID="_1572441525" r:id="rId23"/>
              </w:object>
            </w:r>
            <w:r w:rsidRPr="00E9040D">
              <w:rPr>
                <w:iCs/>
              </w:rPr>
              <w:t xml:space="preserve"> </w:t>
            </w:r>
            <w:r w:rsidRPr="00E9040D">
              <w:t xml:space="preserve">and the total transmit power of the UE still would exceed </w:t>
            </w:r>
            <w:r w:rsidRPr="00E9040D">
              <w:rPr>
                <w:iCs/>
                <w:position w:val="-12"/>
              </w:rPr>
              <w:object w:dxaOrig="880" w:dyaOrig="400">
                <v:shape id="_x0000_i1034" type="#_x0000_t75" style="width:44.35pt;height:20.15pt" o:ole="">
                  <v:imagedata r:id="rId24" o:title=""/>
                </v:shape>
                <o:OLEObject Type="Embed" ProgID="Equation.3" ShapeID="_x0000_i1034" DrawAspect="Content" ObjectID="_1572441526" r:id="rId25"/>
              </w:object>
            </w:r>
            <w:r w:rsidRPr="00E9040D">
              <w:rPr>
                <w:iCs/>
              </w:rPr>
              <w:t>.</w:t>
            </w:r>
          </w:p>
          <w:p w:rsidR="00647BB8" w:rsidRPr="00790B21" w:rsidRDefault="00647BB8" w:rsidP="00790B21">
            <w:pPr>
              <w:rPr>
                <w:iCs/>
                <w:lang w:eastAsia="ja-JP"/>
              </w:rPr>
            </w:pPr>
            <w:r>
              <w:rPr>
                <w:iCs/>
              </w:rPr>
              <w:t>For a UE not configured with a SCG or a PUCCH-SCell, n</w:t>
            </w:r>
            <w:r w:rsidRPr="00E9040D">
              <w:rPr>
                <w:iCs/>
              </w:rPr>
              <w:t>ote that</w:t>
            </w:r>
            <w:r w:rsidRPr="00E9040D">
              <w:rPr>
                <w:iCs/>
                <w:position w:val="-10"/>
              </w:rPr>
              <w:object w:dxaOrig="420" w:dyaOrig="279">
                <v:shape id="_x0000_i1035" type="#_x0000_t75" style="width:21.3pt;height:14.4pt" o:ole="">
                  <v:imagedata r:id="rId26" o:title=""/>
                </v:shape>
                <o:OLEObject Type="Embed" ProgID="Equation.3" ShapeID="_x0000_i1035" DrawAspect="Content" ObjectID="_1572441527" r:id="rId27"/>
              </w:object>
            </w:r>
            <w:r w:rsidRPr="00E9040D">
              <w:rPr>
                <w:iCs/>
              </w:rPr>
              <w:t>values are the same across serving cells when</w:t>
            </w:r>
            <w:r w:rsidRPr="00E9040D">
              <w:rPr>
                <w:iCs/>
                <w:position w:val="-10"/>
              </w:rPr>
              <w:object w:dxaOrig="720" w:dyaOrig="279">
                <v:shape id="_x0000_i1036" type="#_x0000_t75" style="width:36.3pt;height:14.4pt" o:ole="">
                  <v:imagedata r:id="rId28" o:title=""/>
                </v:shape>
                <o:OLEObject Type="Embed" ProgID="Equation.3" ShapeID="_x0000_i1036" DrawAspect="Content" ObjectID="_1572441528" r:id="rId29"/>
              </w:object>
            </w:r>
            <w:r w:rsidRPr="00E9040D">
              <w:rPr>
                <w:iCs/>
              </w:rPr>
              <w:t xml:space="preserve">but for certain serving cells </w:t>
            </w:r>
            <w:r w:rsidRPr="00E9040D">
              <w:rPr>
                <w:iCs/>
                <w:position w:val="-10"/>
              </w:rPr>
              <w:object w:dxaOrig="420" w:dyaOrig="279">
                <v:shape id="_x0000_i1037" type="#_x0000_t75" style="width:21.3pt;height:14.4pt" o:ole="">
                  <v:imagedata r:id="rId26" o:title=""/>
                </v:shape>
                <o:OLEObject Type="Embed" ProgID="Equation.3" ShapeID="_x0000_i1037" DrawAspect="Content" ObjectID="_1572441529" r:id="rId30"/>
              </w:object>
            </w:r>
            <w:r w:rsidRPr="00E9040D">
              <w:rPr>
                <w:iCs/>
              </w:rPr>
              <w:t>may be zero.</w:t>
            </w:r>
          </w:p>
        </w:tc>
      </w:tr>
    </w:tbl>
    <w:p w:rsidR="00C9709A" w:rsidRDefault="00C9709A" w:rsidP="00C9709A">
      <w:pPr>
        <w:spacing w:after="0"/>
        <w:jc w:val="both"/>
        <w:rPr>
          <w:b/>
          <w:i/>
          <w:lang w:val="en-US" w:eastAsia="ja-JP"/>
        </w:rPr>
      </w:pPr>
    </w:p>
    <w:p w:rsidR="00C9709A" w:rsidRDefault="00647BB8" w:rsidP="00C9709A">
      <w:pPr>
        <w:spacing w:after="0"/>
        <w:ind w:leftChars="50" w:left="1132" w:hangingChars="514" w:hanging="1032"/>
        <w:jc w:val="both"/>
        <w:rPr>
          <w:b/>
          <w:i/>
          <w:lang w:val="en-US" w:eastAsia="ja-JP"/>
        </w:rPr>
      </w:pPr>
      <w:r>
        <w:rPr>
          <w:rFonts w:hint="eastAsia"/>
          <w:b/>
          <w:i/>
          <w:lang w:val="en-US" w:eastAsia="ja-JP"/>
        </w:rPr>
        <w:t>Proposal 1</w:t>
      </w:r>
      <w:r w:rsidR="00A14009" w:rsidRPr="0081033D">
        <w:rPr>
          <w:rFonts w:hint="eastAsia"/>
          <w:b/>
          <w:i/>
          <w:lang w:val="en-US" w:eastAsia="ja-JP"/>
        </w:rPr>
        <w:t xml:space="preserve">: </w:t>
      </w:r>
      <w:r>
        <w:rPr>
          <w:rFonts w:hint="eastAsia"/>
          <w:b/>
          <w:i/>
          <w:lang w:val="en-US" w:eastAsia="ja-JP"/>
        </w:rPr>
        <w:t>Reuse LTE</w:t>
      </w:r>
      <w:r w:rsidR="00790B21">
        <w:rPr>
          <w:rFonts w:hint="eastAsia"/>
          <w:b/>
          <w:i/>
          <w:lang w:val="en-US" w:eastAsia="ja-JP"/>
        </w:rPr>
        <w:t xml:space="preserve"> power</w:t>
      </w:r>
      <w:r>
        <w:rPr>
          <w:rFonts w:hint="eastAsia"/>
          <w:b/>
          <w:i/>
          <w:lang w:val="en-US" w:eastAsia="ja-JP"/>
        </w:rPr>
        <w:t xml:space="preserve"> scaling function for</w:t>
      </w:r>
      <w:r>
        <w:rPr>
          <w:rFonts w:hint="eastAsia"/>
          <w:b/>
          <w:i/>
          <w:iCs/>
          <w:lang w:eastAsia="ja-JP"/>
        </w:rPr>
        <w:t xml:space="preserve"> </w:t>
      </w:r>
      <w:r w:rsidR="00C9709A">
        <w:rPr>
          <w:rFonts w:hint="eastAsia"/>
          <w:b/>
          <w:i/>
          <w:iCs/>
          <w:lang w:eastAsia="ja-JP"/>
        </w:rPr>
        <w:t>PUSCH transmission from Rel.14</w:t>
      </w:r>
      <w:r w:rsidR="00790B21">
        <w:rPr>
          <w:b/>
          <w:i/>
          <w:lang w:val="en-US" w:eastAsia="ja-JP"/>
        </w:rPr>
        <w:t>.</w:t>
      </w:r>
    </w:p>
    <w:p w:rsidR="00790B21" w:rsidRPr="00C9709A" w:rsidRDefault="00790B21" w:rsidP="00C9709A">
      <w:pPr>
        <w:spacing w:after="0"/>
        <w:ind w:leftChars="547" w:left="1558" w:hangingChars="231" w:hanging="464"/>
        <w:jc w:val="both"/>
        <w:rPr>
          <w:b/>
          <w:i/>
          <w:lang w:val="en-US" w:eastAsia="ja-JP"/>
        </w:rPr>
      </w:pPr>
      <w:r w:rsidRPr="00C9709A">
        <w:rPr>
          <w:rFonts w:hint="eastAsia"/>
          <w:b/>
          <w:i/>
          <w:lang w:val="en-US" w:eastAsia="ja-JP"/>
        </w:rPr>
        <w:t xml:space="preserve">Note: Only PUSCH-only transmission need to be reused, since </w:t>
      </w:r>
      <w:r w:rsidRPr="00C9709A">
        <w:rPr>
          <w:b/>
          <w:i/>
          <w:lang w:val="en-US" w:eastAsia="ja-JP"/>
        </w:rPr>
        <w:t>simultaneous transmission of PUSCH and PUCCH</w:t>
      </w:r>
      <w:r w:rsidR="002C2D18" w:rsidRPr="00C9709A">
        <w:rPr>
          <w:b/>
          <w:i/>
          <w:lang w:val="en-US" w:eastAsia="ja-JP"/>
        </w:rPr>
        <w:t xml:space="preserve"> </w:t>
      </w:r>
      <w:r w:rsidR="002C2D18" w:rsidRPr="00C9709A">
        <w:rPr>
          <w:rFonts w:hint="eastAsia"/>
          <w:b/>
          <w:i/>
          <w:lang w:val="en-US" w:eastAsia="ja-JP"/>
        </w:rPr>
        <w:t>among</w:t>
      </w:r>
      <w:r w:rsidR="002C2D18" w:rsidRPr="00C9709A">
        <w:rPr>
          <w:b/>
          <w:i/>
          <w:lang w:val="en-US" w:eastAsia="ja-JP"/>
        </w:rPr>
        <w:t xml:space="preserve"> C</w:t>
      </w:r>
      <w:r w:rsidR="002C2D18" w:rsidRPr="00C9709A">
        <w:rPr>
          <w:rFonts w:hint="eastAsia"/>
          <w:b/>
          <w:i/>
          <w:lang w:val="en-US" w:eastAsia="ja-JP"/>
        </w:rPr>
        <w:t>Cs</w:t>
      </w:r>
      <w:r w:rsidRPr="00C9709A">
        <w:rPr>
          <w:b/>
          <w:i/>
          <w:lang w:val="en-US" w:eastAsia="ja-JP"/>
        </w:rPr>
        <w:t xml:space="preserve"> </w:t>
      </w:r>
      <w:r w:rsidRPr="00C9709A">
        <w:rPr>
          <w:rFonts w:hint="eastAsia"/>
          <w:b/>
          <w:i/>
          <w:lang w:val="en-US" w:eastAsia="ja-JP"/>
        </w:rPr>
        <w:t>is not</w:t>
      </w:r>
      <w:r w:rsidRPr="00C9709A">
        <w:rPr>
          <w:b/>
          <w:i/>
          <w:lang w:val="en-US" w:eastAsia="ja-JP"/>
        </w:rPr>
        <w:t xml:space="preserve"> supported</w:t>
      </w:r>
      <w:r w:rsidRPr="00C9709A">
        <w:rPr>
          <w:rFonts w:hint="eastAsia"/>
          <w:b/>
          <w:i/>
          <w:lang w:val="en-US" w:eastAsia="ja-JP"/>
        </w:rPr>
        <w:t xml:space="preserve"> in Rel. 15 NR.</w:t>
      </w:r>
    </w:p>
    <w:p w:rsidR="00647BB8" w:rsidRDefault="00647BB8" w:rsidP="002C2D18">
      <w:pPr>
        <w:pStyle w:val="2"/>
        <w:jc w:val="both"/>
        <w:rPr>
          <w:lang w:eastAsia="ja-JP"/>
        </w:rPr>
      </w:pPr>
      <w:r>
        <w:rPr>
          <w:rFonts w:hint="eastAsia"/>
          <w:lang w:eastAsia="ja-JP"/>
        </w:rPr>
        <w:lastRenderedPageBreak/>
        <w:t>PUCCH</w:t>
      </w:r>
    </w:p>
    <w:p w:rsidR="00790B21" w:rsidRDefault="00790B21" w:rsidP="002C2D18">
      <w:pPr>
        <w:jc w:val="both"/>
        <w:rPr>
          <w:lang w:eastAsia="ja-JP"/>
        </w:rPr>
      </w:pPr>
      <w:r>
        <w:rPr>
          <w:rFonts w:hint="eastAsia"/>
          <w:lang w:eastAsia="ja-JP"/>
        </w:rPr>
        <w:t xml:space="preserve"> As mentioned above, </w:t>
      </w:r>
      <w:r w:rsidRPr="00790B21">
        <w:rPr>
          <w:lang w:eastAsia="ja-JP"/>
        </w:rPr>
        <w:t>simultaneous transmissio</w:t>
      </w:r>
      <w:r>
        <w:rPr>
          <w:lang w:eastAsia="ja-JP"/>
        </w:rPr>
        <w:t xml:space="preserve">n of PUSCH and PUCCH </w:t>
      </w:r>
      <w:r w:rsidR="00C17896">
        <w:rPr>
          <w:rFonts w:hint="eastAsia"/>
          <w:lang w:eastAsia="ja-JP"/>
        </w:rPr>
        <w:t>mong</w:t>
      </w:r>
      <w:r>
        <w:rPr>
          <w:rFonts w:hint="eastAsia"/>
          <w:lang w:eastAsia="ja-JP"/>
        </w:rPr>
        <w:t xml:space="preserve"> CCs</w:t>
      </w:r>
      <w:r w:rsidRPr="00790B21">
        <w:rPr>
          <w:lang w:eastAsia="ja-JP"/>
        </w:rPr>
        <w:t xml:space="preserve"> is not supported in Rel. 15 NR</w:t>
      </w:r>
      <w:r>
        <w:rPr>
          <w:rFonts w:hint="eastAsia"/>
          <w:lang w:eastAsia="ja-JP"/>
        </w:rPr>
        <w:t>. Hence there is no need to introduce scaling function for PUCCH transmission.</w:t>
      </w:r>
    </w:p>
    <w:p w:rsidR="00790B21" w:rsidRPr="00790B21" w:rsidRDefault="00790B21" w:rsidP="00B7605D">
      <w:pPr>
        <w:spacing w:before="240"/>
        <w:ind w:leftChars="50" w:left="1275" w:hangingChars="585" w:hanging="1175"/>
        <w:jc w:val="both"/>
        <w:rPr>
          <w:b/>
          <w:i/>
          <w:lang w:val="en-US" w:eastAsia="ja-JP"/>
        </w:rPr>
      </w:pPr>
      <w:r>
        <w:rPr>
          <w:rFonts w:hint="eastAsia"/>
          <w:b/>
          <w:i/>
          <w:lang w:eastAsia="ja-JP"/>
        </w:rPr>
        <w:t>Observation</w:t>
      </w:r>
      <w:r w:rsidRPr="0081033D">
        <w:rPr>
          <w:rFonts w:hint="eastAsia"/>
          <w:b/>
          <w:i/>
          <w:lang w:val="en-US" w:eastAsia="ja-JP"/>
        </w:rPr>
        <w:t xml:space="preserve">: </w:t>
      </w:r>
      <w:r>
        <w:rPr>
          <w:rFonts w:hint="eastAsia"/>
          <w:b/>
          <w:i/>
          <w:lang w:val="en-US" w:eastAsia="ja-JP"/>
        </w:rPr>
        <w:t xml:space="preserve">There is no need to </w:t>
      </w:r>
      <w:r w:rsidRPr="00790B21">
        <w:rPr>
          <w:b/>
          <w:i/>
          <w:lang w:val="en-US" w:eastAsia="ja-JP"/>
        </w:rPr>
        <w:t>introduce scaling function for PUCCH transmission</w:t>
      </w:r>
      <w:r>
        <w:rPr>
          <w:rFonts w:hint="eastAsia"/>
          <w:b/>
          <w:i/>
          <w:lang w:val="en-US" w:eastAsia="ja-JP"/>
        </w:rPr>
        <w:t xml:space="preserve">, since </w:t>
      </w:r>
      <w:r w:rsidRPr="00790B21">
        <w:rPr>
          <w:b/>
          <w:i/>
          <w:lang w:val="en-US" w:eastAsia="ja-JP"/>
        </w:rPr>
        <w:t>simultaneous transmi</w:t>
      </w:r>
      <w:r w:rsidR="00C17896">
        <w:rPr>
          <w:b/>
          <w:i/>
          <w:lang w:val="en-US" w:eastAsia="ja-JP"/>
        </w:rPr>
        <w:t xml:space="preserve">ssion of PUSCH and PUCCH </w:t>
      </w:r>
      <w:r w:rsidR="00C17896">
        <w:rPr>
          <w:rFonts w:hint="eastAsia"/>
          <w:b/>
          <w:i/>
          <w:lang w:val="en-US" w:eastAsia="ja-JP"/>
        </w:rPr>
        <w:t>among</w:t>
      </w:r>
      <w:r w:rsidRPr="00790B21">
        <w:rPr>
          <w:b/>
          <w:i/>
          <w:lang w:val="en-US" w:eastAsia="ja-JP"/>
        </w:rPr>
        <w:t xml:space="preserve"> CCs is not supported in Rel. 15 NR</w:t>
      </w:r>
      <w:r>
        <w:rPr>
          <w:rFonts w:hint="eastAsia"/>
          <w:b/>
          <w:i/>
          <w:lang w:val="en-US" w:eastAsia="ja-JP"/>
        </w:rPr>
        <w:t>.</w:t>
      </w:r>
    </w:p>
    <w:p w:rsidR="00647BB8" w:rsidRDefault="00647BB8">
      <w:pPr>
        <w:pStyle w:val="2"/>
        <w:rPr>
          <w:lang w:eastAsia="ja-JP"/>
        </w:rPr>
      </w:pPr>
      <w:r>
        <w:rPr>
          <w:rFonts w:hint="eastAsia"/>
          <w:lang w:eastAsia="ja-JP"/>
        </w:rPr>
        <w:t>SRS</w:t>
      </w:r>
    </w:p>
    <w:p w:rsidR="00C17896" w:rsidRDefault="00790B21" w:rsidP="00C17896">
      <w:pPr>
        <w:ind w:firstLineChars="50" w:firstLine="100"/>
        <w:jc w:val="both"/>
        <w:rPr>
          <w:iCs/>
          <w:lang w:eastAsia="ja-JP"/>
        </w:rPr>
      </w:pPr>
      <w:r>
        <w:rPr>
          <w:rFonts w:hint="eastAsia"/>
          <w:lang w:eastAsia="ja-JP"/>
        </w:rPr>
        <w:t>In LTE</w:t>
      </w:r>
      <w:r w:rsidR="00B35CEB">
        <w:rPr>
          <w:rFonts w:hint="eastAsia"/>
          <w:lang w:eastAsia="ja-JP"/>
        </w:rPr>
        <w:t>-A</w:t>
      </w:r>
      <w:r>
        <w:rPr>
          <w:rFonts w:hint="eastAsia"/>
          <w:lang w:eastAsia="ja-JP"/>
        </w:rPr>
        <w:t xml:space="preserve">, SRS was never transmitted simultaneously with PUSCH, because </w:t>
      </w:r>
      <w:r w:rsidR="00C17896">
        <w:rPr>
          <w:rFonts w:hint="eastAsia"/>
          <w:lang w:eastAsia="ja-JP"/>
        </w:rPr>
        <w:t>SRS occupies a specific symbol</w:t>
      </w:r>
      <w:r>
        <w:rPr>
          <w:rFonts w:hint="eastAsia"/>
          <w:lang w:eastAsia="ja-JP"/>
        </w:rPr>
        <w:t xml:space="preserve">. However, in NR, </w:t>
      </w:r>
      <w:r w:rsidR="00C17896">
        <w:rPr>
          <w:rFonts w:hint="eastAsia"/>
          <w:lang w:eastAsia="ja-JP"/>
        </w:rPr>
        <w:t>SRS and PUSCH can be transmitted simultaneously</w:t>
      </w:r>
      <w:r>
        <w:rPr>
          <w:rFonts w:hint="eastAsia"/>
          <w:lang w:eastAsia="ja-JP"/>
        </w:rPr>
        <w:t xml:space="preserve">. Therefore we </w:t>
      </w:r>
      <w:r w:rsidR="00D87C11">
        <w:rPr>
          <w:rFonts w:hint="eastAsia"/>
          <w:lang w:eastAsia="ja-JP"/>
        </w:rPr>
        <w:t>should not reuse Rel.14 description directly.</w:t>
      </w:r>
      <w:r w:rsidR="002C2D18">
        <w:rPr>
          <w:rFonts w:hint="eastAsia"/>
          <w:lang w:eastAsia="ja-JP"/>
        </w:rPr>
        <w:t xml:space="preserve"> PUSCH transmission power should be determined first,</w:t>
      </w:r>
      <w:r w:rsidR="00C17896">
        <w:rPr>
          <w:rFonts w:hint="eastAsia"/>
          <w:lang w:eastAsia="ja-JP"/>
        </w:rPr>
        <w:t xml:space="preserve"> since SRS would be de-prioritized in power-limited case. We propose that </w:t>
      </w:r>
      <w:r w:rsidR="00C17896" w:rsidRPr="00415E5C">
        <w:rPr>
          <w:iCs/>
        </w:rPr>
        <w:t xml:space="preserve">UE scales </w:t>
      </w:r>
      <w:r w:rsidR="00B35CEB" w:rsidRPr="00415E5C">
        <w:rPr>
          <w:iCs/>
          <w:position w:val="-12"/>
        </w:rPr>
        <w:object w:dxaOrig="740" w:dyaOrig="360">
          <v:shape id="_x0000_i1038" type="#_x0000_t75" style="width:34pt;height:16.7pt" o:ole="">
            <v:imagedata r:id="rId31" o:title=""/>
          </v:shape>
          <o:OLEObject Type="Embed" ProgID="Equation.3" ShapeID="_x0000_i1038" DrawAspect="Content" ObjectID="_1572441530" r:id="rId32"/>
        </w:object>
      </w:r>
      <w:r w:rsidR="00C17896" w:rsidRPr="00415E5C">
        <w:rPr>
          <w:iCs/>
        </w:rPr>
        <w:t xml:space="preserve">for the serving cell </w:t>
      </w:r>
      <w:r w:rsidR="00C17896" w:rsidRPr="00415E5C">
        <w:rPr>
          <w:iCs/>
          <w:position w:val="-6"/>
        </w:rPr>
        <w:object w:dxaOrig="160" w:dyaOrig="200">
          <v:shape id="_x0000_i1039" type="#_x0000_t75" style="width:8.05pt;height:9.8pt" o:ole="">
            <v:imagedata r:id="rId19" o:title=""/>
          </v:shape>
          <o:OLEObject Type="Embed" ProgID="Equation.DSMT4" ShapeID="_x0000_i1039" DrawAspect="Content" ObjectID="_1572441531" r:id="rId33"/>
        </w:object>
      </w:r>
      <w:r w:rsidR="00C17896" w:rsidRPr="00415E5C">
        <w:rPr>
          <w:iCs/>
        </w:rPr>
        <w:t xml:space="preserve"> </w:t>
      </w:r>
      <w:r w:rsidR="00C17896">
        <w:rPr>
          <w:rFonts w:eastAsia="SimSun" w:hint="eastAsia"/>
          <w:iCs/>
          <w:lang w:eastAsia="zh-CN"/>
        </w:rPr>
        <w:t>and each of the overlapped SRS symbols in</w:t>
      </w:r>
      <w:r w:rsidR="00C17896" w:rsidRPr="00415E5C">
        <w:rPr>
          <w:iCs/>
        </w:rPr>
        <w:t xml:space="preserve"> subframe </w:t>
      </w:r>
      <w:r w:rsidR="00C17896" w:rsidRPr="00E9040D">
        <w:rPr>
          <w:position w:val="-6"/>
        </w:rPr>
        <w:object w:dxaOrig="139" w:dyaOrig="260">
          <v:shape id="_x0000_i1040" type="#_x0000_t75" style="width:7.5pt;height:13.25pt" o:ole="">
            <v:imagedata r:id="rId34" o:title=""/>
          </v:shape>
          <o:OLEObject Type="Embed" ProgID="Equation.3" ShapeID="_x0000_i1040" DrawAspect="Content" ObjectID="_1572441532" r:id="rId35"/>
        </w:object>
      </w:r>
      <w:r w:rsidR="00C17896" w:rsidRPr="00415E5C">
        <w:rPr>
          <w:iCs/>
        </w:rPr>
        <w:t xml:space="preserve"> such that the condition</w:t>
      </w:r>
    </w:p>
    <w:p w:rsidR="00C17896" w:rsidRPr="00C17896" w:rsidRDefault="00C9709A" w:rsidP="00C17896">
      <w:pPr>
        <w:jc w:val="center"/>
        <w:rPr>
          <w:iCs/>
          <w:lang w:eastAsia="ja-JP"/>
        </w:rPr>
      </w:pPr>
      <w:r w:rsidRPr="00C17896">
        <w:rPr>
          <w:position w:val="-32"/>
        </w:rPr>
        <w:object w:dxaOrig="5140" w:dyaOrig="740">
          <v:shape id="_x0000_i1041" type="#_x0000_t75" style="width:256.9pt;height:36.85pt" o:ole="">
            <v:imagedata r:id="rId36" o:title=""/>
          </v:shape>
          <o:OLEObject Type="Embed" ProgID="Equation.3" ShapeID="_x0000_i1041" DrawAspect="Content" ObjectID="_1572441533" r:id="rId37"/>
        </w:object>
      </w:r>
    </w:p>
    <w:p w:rsidR="00C17896" w:rsidRDefault="00C17896" w:rsidP="00C9709A">
      <w:pPr>
        <w:rPr>
          <w:iCs/>
          <w:lang w:eastAsia="ja-JP"/>
        </w:rPr>
      </w:pPr>
      <w:r w:rsidRPr="00415E5C">
        <w:rPr>
          <w:iCs/>
        </w:rPr>
        <w:t xml:space="preserve">is satisfied where </w:t>
      </w:r>
      <w:r w:rsidR="00B35CEB" w:rsidRPr="00415E5C">
        <w:rPr>
          <w:iCs/>
          <w:position w:val="-12"/>
        </w:rPr>
        <w:object w:dxaOrig="740" w:dyaOrig="360">
          <v:shape id="_x0000_i1042" type="#_x0000_t75" style="width:32.85pt;height:16.15pt" o:ole="">
            <v:imagedata r:id="rId38" o:title=""/>
          </v:shape>
          <o:OLEObject Type="Embed" ProgID="Equation.3" ShapeID="_x0000_i1042" DrawAspect="Content" ObjectID="_1572441534" r:id="rId39"/>
        </w:object>
      </w:r>
      <w:r w:rsidRPr="00415E5C">
        <w:rPr>
          <w:iCs/>
        </w:rPr>
        <w:t xml:space="preserve"> is the linear value of </w:t>
      </w:r>
      <w:r w:rsidR="00B35CEB" w:rsidRPr="00415E5C">
        <w:rPr>
          <w:iCs/>
          <w:position w:val="-12"/>
        </w:rPr>
        <w:object w:dxaOrig="740" w:dyaOrig="320">
          <v:shape id="_x0000_i1043" type="#_x0000_t75" style="width:34pt;height:15pt" o:ole="">
            <v:imagedata r:id="rId40" o:title=""/>
          </v:shape>
          <o:OLEObject Type="Embed" ProgID="Equation.3" ShapeID="_x0000_i1043" DrawAspect="Content" ObjectID="_1572441535" r:id="rId41"/>
        </w:object>
      </w:r>
      <w:r w:rsidRPr="00415E5C">
        <w:rPr>
          <w:iCs/>
        </w:rPr>
        <w:t xml:space="preserve">, </w:t>
      </w:r>
      <w:r w:rsidR="00B35CEB" w:rsidRPr="00C17896">
        <w:rPr>
          <w:iCs/>
          <w:position w:val="-12"/>
        </w:rPr>
        <w:object w:dxaOrig="880" w:dyaOrig="400">
          <v:shape id="_x0000_i1044" type="#_x0000_t75" style="width:34.55pt;height:15.55pt" o:ole="">
            <v:imagedata r:id="rId42" o:title=""/>
          </v:shape>
          <o:OLEObject Type="Embed" ProgID="Equation.3" ShapeID="_x0000_i1044" DrawAspect="Content" ObjectID="_1572441536" r:id="rId43"/>
        </w:object>
      </w:r>
      <w:r w:rsidRPr="00415E5C">
        <w:rPr>
          <w:iCs/>
        </w:rPr>
        <w:t xml:space="preserve"> is the linear value of </w:t>
      </w:r>
      <w:r w:rsidR="00B35CEB" w:rsidRPr="00C17896">
        <w:rPr>
          <w:iCs/>
          <w:position w:val="-12"/>
        </w:rPr>
        <w:object w:dxaOrig="620" w:dyaOrig="360">
          <v:shape id="_x0000_i1045" type="#_x0000_t75" style="width:27.05pt;height:15.55pt" o:ole="">
            <v:imagedata r:id="rId44" o:title=""/>
          </v:shape>
          <o:OLEObject Type="Embed" ProgID="Equation.3" ShapeID="_x0000_i1045" DrawAspect="Content" ObjectID="_1572441537" r:id="rId45"/>
        </w:object>
      </w:r>
      <w:r w:rsidRPr="00415E5C">
        <w:rPr>
          <w:iCs/>
        </w:rPr>
        <w:t xml:space="preserve"> </w:t>
      </w:r>
      <w:r>
        <w:rPr>
          <w:rFonts w:hint="eastAsia"/>
          <w:iCs/>
        </w:rPr>
        <w:t xml:space="preserve">in subframe </w:t>
      </w:r>
      <w:r w:rsidRPr="00C22670">
        <w:rPr>
          <w:rFonts w:hint="eastAsia"/>
          <w:i/>
          <w:iCs/>
        </w:rPr>
        <w:t>i</w:t>
      </w:r>
      <w:r w:rsidRPr="00415E5C">
        <w:rPr>
          <w:iCs/>
        </w:rPr>
        <w:t xml:space="preserve"> and</w:t>
      </w:r>
      <w:r w:rsidR="00B35CEB" w:rsidRPr="00C17896">
        <w:rPr>
          <w:iCs/>
          <w:position w:val="-12"/>
        </w:rPr>
        <w:object w:dxaOrig="740" w:dyaOrig="360">
          <v:shape id="_x0000_i1046" type="#_x0000_t75" style="width:29.95pt;height:15pt" o:ole="">
            <v:imagedata r:id="rId46" o:title=""/>
          </v:shape>
          <o:OLEObject Type="Embed" ProgID="Equation.3" ShapeID="_x0000_i1046" DrawAspect="Content" ObjectID="_1572441538" r:id="rId47"/>
        </w:object>
      </w:r>
      <w:r w:rsidRPr="00415E5C">
        <w:rPr>
          <w:iCs/>
        </w:rPr>
        <w:t xml:space="preserve"> is a scaling factor of </w:t>
      </w:r>
      <w:r w:rsidR="00B35CEB" w:rsidRPr="00415E5C">
        <w:rPr>
          <w:iCs/>
          <w:position w:val="-12"/>
        </w:rPr>
        <w:object w:dxaOrig="740" w:dyaOrig="360">
          <v:shape id="_x0000_i1047" type="#_x0000_t75" style="width:31.1pt;height:15.55pt" o:ole="">
            <v:imagedata r:id="rId48" o:title=""/>
          </v:shape>
          <o:OLEObject Type="Embed" ProgID="Equation.3" ShapeID="_x0000_i1047" DrawAspect="Content" ObjectID="_1572441539" r:id="rId49"/>
        </w:object>
      </w:r>
      <w:r>
        <w:rPr>
          <w:rFonts w:hint="eastAsia"/>
          <w:iCs/>
        </w:rPr>
        <w:t xml:space="preserve"> </w:t>
      </w:r>
      <w:r w:rsidRPr="00415E5C">
        <w:rPr>
          <w:iCs/>
        </w:rPr>
        <w:t xml:space="preserve">for serving cell </w:t>
      </w:r>
      <w:r w:rsidRPr="00415E5C">
        <w:rPr>
          <w:iCs/>
          <w:position w:val="-6"/>
        </w:rPr>
        <w:object w:dxaOrig="160" w:dyaOrig="200">
          <v:shape id="_x0000_i1048" type="#_x0000_t75" style="width:8.05pt;height:9.8pt" o:ole="">
            <v:imagedata r:id="rId50" o:title=""/>
          </v:shape>
          <o:OLEObject Type="Embed" ProgID="Equation.3" ShapeID="_x0000_i1048" DrawAspect="Content" ObjectID="_1572441540" r:id="rId51"/>
        </w:object>
      </w:r>
      <w:r>
        <w:rPr>
          <w:rFonts w:hint="eastAsia"/>
          <w:iCs/>
        </w:rPr>
        <w:t xml:space="preserve"> </w:t>
      </w:r>
      <w:r w:rsidRPr="00415E5C">
        <w:rPr>
          <w:iCs/>
        </w:rPr>
        <w:t xml:space="preserve">where </w:t>
      </w:r>
      <w:r w:rsidR="00B35CEB" w:rsidRPr="00C17896">
        <w:rPr>
          <w:iCs/>
          <w:position w:val="-12"/>
        </w:rPr>
        <w:object w:dxaOrig="1400" w:dyaOrig="360">
          <v:shape id="_x0000_i1049" type="#_x0000_t75" style="width:58.75pt;height:15pt" o:ole="">
            <v:imagedata r:id="rId52" o:title=""/>
          </v:shape>
          <o:OLEObject Type="Embed" ProgID="Equation.3" ShapeID="_x0000_i1049" DrawAspect="Content" ObjectID="_1572441541" r:id="rId53"/>
        </w:object>
      </w:r>
      <w:r>
        <w:rPr>
          <w:rFonts w:hint="eastAsia"/>
          <w:iCs/>
          <w:lang w:eastAsia="ja-JP"/>
        </w:rPr>
        <w:t>,</w:t>
      </w:r>
      <w:r w:rsidR="00B35CEB" w:rsidRPr="00B35CEB">
        <w:rPr>
          <w:iCs/>
          <w:position w:val="-12"/>
        </w:rPr>
        <w:object w:dxaOrig="740" w:dyaOrig="360">
          <v:shape id="_x0000_i1050" type="#_x0000_t75" style="width:31.7pt;height:16.15pt" o:ole="">
            <v:imagedata r:id="rId54" o:title=""/>
          </v:shape>
          <o:OLEObject Type="Embed" ProgID="Equation.3" ShapeID="_x0000_i1050" DrawAspect="Content" ObjectID="_1572441542" r:id="rId55"/>
        </w:object>
      </w:r>
      <w:r w:rsidRPr="00415E5C">
        <w:rPr>
          <w:iCs/>
        </w:rPr>
        <w:t>values are the same across serving cells</w:t>
      </w:r>
      <w:r>
        <w:rPr>
          <w:rFonts w:hint="eastAsia"/>
          <w:iCs/>
        </w:rPr>
        <w:t>.</w:t>
      </w:r>
      <w:r w:rsidRPr="008506DA">
        <w:rPr>
          <w:iCs/>
        </w:rPr>
        <w:t xml:space="preserve"> </w:t>
      </w:r>
    </w:p>
    <w:p w:rsidR="00C9709A" w:rsidRDefault="00C9709A" w:rsidP="00C9709A">
      <w:pPr>
        <w:spacing w:before="240"/>
        <w:ind w:leftChars="50" w:left="1132" w:hangingChars="514" w:hanging="1032"/>
        <w:jc w:val="both"/>
        <w:rPr>
          <w:b/>
          <w:i/>
          <w:lang w:val="en-US" w:eastAsia="ja-JP"/>
        </w:rPr>
      </w:pPr>
      <w:r>
        <w:rPr>
          <w:rFonts w:hint="eastAsia"/>
          <w:b/>
          <w:i/>
          <w:lang w:val="en-US" w:eastAsia="ja-JP"/>
        </w:rPr>
        <w:t>Proposal 2</w:t>
      </w:r>
      <w:r w:rsidRPr="0081033D">
        <w:rPr>
          <w:rFonts w:hint="eastAsia"/>
          <w:b/>
          <w:i/>
          <w:lang w:val="en-US" w:eastAsia="ja-JP"/>
        </w:rPr>
        <w:t xml:space="preserve">: </w:t>
      </w:r>
      <w:r>
        <w:rPr>
          <w:rFonts w:hint="eastAsia"/>
          <w:b/>
          <w:i/>
          <w:lang w:val="en-US" w:eastAsia="ja-JP"/>
        </w:rPr>
        <w:t>Support following formula for SRS power scaling:</w:t>
      </w:r>
    </w:p>
    <w:p w:rsidR="00C9709A" w:rsidRPr="00C9709A" w:rsidRDefault="00C9709A" w:rsidP="00C9709A">
      <w:pPr>
        <w:spacing w:before="240"/>
        <w:ind w:leftChars="50" w:left="1128" w:hangingChars="514" w:hanging="1028"/>
        <w:jc w:val="center"/>
        <w:rPr>
          <w:b/>
          <w:i/>
          <w:lang w:val="en-US" w:eastAsia="ja-JP"/>
        </w:rPr>
      </w:pPr>
      <w:r w:rsidRPr="00C17896">
        <w:rPr>
          <w:position w:val="-32"/>
        </w:rPr>
        <w:object w:dxaOrig="5140" w:dyaOrig="740">
          <v:shape id="_x0000_i1051" type="#_x0000_t75" style="width:256.9pt;height:36.85pt" o:ole="">
            <v:imagedata r:id="rId36" o:title=""/>
          </v:shape>
          <o:OLEObject Type="Embed" ProgID="Equation.3" ShapeID="_x0000_i1051" DrawAspect="Content" ObjectID="_1572441543" r:id="rId56"/>
        </w:object>
      </w:r>
    </w:p>
    <w:p w:rsidR="00647BB8" w:rsidRPr="000A2815" w:rsidRDefault="00C9709A" w:rsidP="00647BB8">
      <w:pPr>
        <w:pStyle w:val="2"/>
        <w:rPr>
          <w:lang w:eastAsia="ja-JP"/>
        </w:rPr>
      </w:pPr>
      <w:r>
        <w:rPr>
          <w:rFonts w:hint="eastAsia"/>
          <w:lang w:eastAsia="ja-JP"/>
        </w:rPr>
        <w:t>PHR</w:t>
      </w:r>
    </w:p>
    <w:p w:rsidR="00B35CEB" w:rsidRPr="000A2815" w:rsidRDefault="00647BB8" w:rsidP="00C9709A">
      <w:pPr>
        <w:ind w:firstLineChars="50" w:firstLine="100"/>
        <w:jc w:val="both"/>
        <w:rPr>
          <w:lang w:eastAsia="ja-JP"/>
        </w:rPr>
      </w:pPr>
      <w:r w:rsidRPr="000A2815">
        <w:rPr>
          <w:rFonts w:hint="eastAsia"/>
          <w:lang w:eastAsia="ja-JP"/>
        </w:rPr>
        <w:t>According to RAN2 LS</w:t>
      </w:r>
      <w:r w:rsidR="00C9709A" w:rsidRPr="000A2815">
        <w:rPr>
          <w:rFonts w:hint="eastAsia"/>
          <w:lang w:eastAsia="ja-JP"/>
        </w:rPr>
        <w:t xml:space="preserve"> [</w:t>
      </w:r>
      <w:r w:rsidR="000A2815" w:rsidRPr="000A2815">
        <w:rPr>
          <w:rFonts w:hint="eastAsia"/>
          <w:lang w:eastAsia="ja-JP"/>
        </w:rPr>
        <w:t>1</w:t>
      </w:r>
      <w:r w:rsidR="00C9709A" w:rsidRPr="000A2815">
        <w:rPr>
          <w:rFonts w:hint="eastAsia"/>
          <w:lang w:eastAsia="ja-JP"/>
        </w:rPr>
        <w:t>]</w:t>
      </w:r>
      <w:r w:rsidRPr="000A2815">
        <w:rPr>
          <w:rFonts w:hint="eastAsia"/>
          <w:lang w:eastAsia="ja-JP"/>
        </w:rPr>
        <w:t xml:space="preserve">, </w:t>
      </w:r>
      <w:r w:rsidR="00C9709A" w:rsidRPr="000A2815">
        <w:rPr>
          <w:rFonts w:hint="eastAsia"/>
          <w:lang w:eastAsia="ja-JP"/>
        </w:rPr>
        <w:t>virtual</w:t>
      </w:r>
      <w:r w:rsidRPr="000A2815">
        <w:rPr>
          <w:rFonts w:hint="eastAsia"/>
          <w:lang w:eastAsia="ja-JP"/>
        </w:rPr>
        <w:t xml:space="preserve"> PHR </w:t>
      </w:r>
      <w:r w:rsidR="004F4FF9">
        <w:rPr>
          <w:rFonts w:hint="eastAsia"/>
          <w:lang w:eastAsia="ja-JP"/>
        </w:rPr>
        <w:t xml:space="preserve">including both type 1 and 2 </w:t>
      </w:r>
      <w:r w:rsidR="00C9709A" w:rsidRPr="000A2815">
        <w:rPr>
          <w:rFonts w:hint="eastAsia"/>
          <w:lang w:eastAsia="ja-JP"/>
        </w:rPr>
        <w:t>is supported by reusing LTE method. Subsequently virtual PHR calculation needs to be discussed in RAN1. According to RAN1 agreements so far, type 1 PH calculation has been supported</w:t>
      </w:r>
      <w:r w:rsidR="00B35CEB" w:rsidRPr="000A2815">
        <w:rPr>
          <w:rFonts w:hint="eastAsia"/>
          <w:lang w:eastAsia="ja-JP"/>
        </w:rPr>
        <w:t xml:space="preserve"> [</w:t>
      </w:r>
      <w:r w:rsidR="000A2815" w:rsidRPr="000A2815">
        <w:rPr>
          <w:rFonts w:hint="eastAsia"/>
          <w:lang w:eastAsia="ja-JP"/>
        </w:rPr>
        <w:t>2</w:t>
      </w:r>
      <w:r w:rsidR="00B35CEB" w:rsidRPr="000A2815">
        <w:rPr>
          <w:rFonts w:hint="eastAsia"/>
          <w:lang w:eastAsia="ja-JP"/>
        </w:rPr>
        <w:t>]</w:t>
      </w:r>
      <w:r w:rsidR="00C9709A" w:rsidRPr="000A2815">
        <w:rPr>
          <w:rFonts w:hint="eastAsia"/>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B35CEB" w:rsidRPr="00D26B48" w:rsidDel="00BD408E" w:rsidTr="00525AF5">
        <w:trPr>
          <w:jc w:val="center"/>
        </w:trPr>
        <w:tc>
          <w:tcPr>
            <w:tcW w:w="9847" w:type="dxa"/>
            <w:shd w:val="clear" w:color="auto" w:fill="auto"/>
          </w:tcPr>
          <w:p w:rsidR="00B35CEB" w:rsidRPr="000906A5" w:rsidRDefault="00B35CEB" w:rsidP="00B35CEB">
            <w:pPr>
              <w:rPr>
                <w:b/>
                <w:lang w:eastAsia="x-none"/>
              </w:rPr>
            </w:pPr>
            <w:r w:rsidRPr="000906A5">
              <w:rPr>
                <w:b/>
                <w:highlight w:val="green"/>
                <w:lang w:eastAsia="x-none"/>
              </w:rPr>
              <w:t>Agreements:</w:t>
            </w:r>
          </w:p>
          <w:p w:rsidR="00B35CEB" w:rsidRPr="000906A5" w:rsidRDefault="00B35CEB" w:rsidP="00B35CEB">
            <w:pPr>
              <w:numPr>
                <w:ilvl w:val="0"/>
                <w:numId w:val="12"/>
              </w:numPr>
              <w:spacing w:after="0"/>
              <w:rPr>
                <w:lang w:val="en-US" w:eastAsia="x-none"/>
              </w:rPr>
            </w:pPr>
            <w:r w:rsidRPr="000906A5">
              <w:rPr>
                <w:lang w:val="en-US" w:eastAsia="x-none"/>
              </w:rPr>
              <w:t>Support PH calculation for PUSCH transmission</w:t>
            </w:r>
          </w:p>
          <w:p w:rsidR="00B35CEB" w:rsidRPr="000906A5" w:rsidRDefault="00B35CEB" w:rsidP="00B35CEB">
            <w:pPr>
              <w:numPr>
                <w:ilvl w:val="1"/>
                <w:numId w:val="12"/>
              </w:numPr>
              <w:spacing w:after="0"/>
              <w:rPr>
                <w:lang w:val="en-US" w:eastAsia="x-none"/>
              </w:rPr>
            </w:pPr>
            <w:r w:rsidRPr="000906A5">
              <w:rPr>
                <w:lang w:val="en-US" w:eastAsia="x-none"/>
              </w:rPr>
              <w:t xml:space="preserve">Calculation for current transmission </w:t>
            </w:r>
          </w:p>
          <w:p w:rsidR="00B35CEB" w:rsidRPr="000906A5" w:rsidRDefault="00B35CEB" w:rsidP="00B35CEB">
            <w:pPr>
              <w:numPr>
                <w:ilvl w:val="1"/>
                <w:numId w:val="12"/>
              </w:numPr>
              <w:spacing w:after="0"/>
              <w:rPr>
                <w:lang w:val="en-US" w:eastAsia="x-none"/>
              </w:rPr>
            </w:pPr>
            <w:r w:rsidRPr="000906A5">
              <w:rPr>
                <w:lang w:val="en-US" w:eastAsia="x-none"/>
              </w:rPr>
              <w:t>FFS: Calculation for non-current transmission</w:t>
            </w:r>
          </w:p>
          <w:p w:rsidR="00B35CEB" w:rsidRPr="00D26B48" w:rsidDel="00BD408E" w:rsidRDefault="00B35CEB" w:rsidP="00B35CEB">
            <w:pPr>
              <w:numPr>
                <w:ilvl w:val="2"/>
                <w:numId w:val="12"/>
              </w:numPr>
              <w:tabs>
                <w:tab w:val="left" w:pos="1440"/>
              </w:tabs>
              <w:spacing w:after="0"/>
              <w:rPr>
                <w:lang w:val="en-US" w:eastAsia="ja-JP"/>
              </w:rPr>
            </w:pPr>
            <w:r w:rsidRPr="00420AE9">
              <w:rPr>
                <w:position w:val="-14"/>
                <w:lang w:val="en-US" w:eastAsia="x-none"/>
              </w:rPr>
              <w:object w:dxaOrig="7920" w:dyaOrig="380">
                <v:shape id="_x0000_i1052" type="#_x0000_t75" style="width:335.8pt;height:16.15pt" o:ole="">
                  <v:imagedata r:id="rId57" o:title=""/>
                </v:shape>
                <o:OLEObject Type="Embed" ProgID="Equation.3" ShapeID="_x0000_i1052" DrawAspect="Content" ObjectID="_1572441544" r:id="rId58"/>
              </w:object>
            </w:r>
          </w:p>
        </w:tc>
      </w:tr>
    </w:tbl>
    <w:p w:rsidR="004F4FF9" w:rsidRDefault="004F4FF9" w:rsidP="00B35CEB">
      <w:pPr>
        <w:spacing w:before="240"/>
        <w:jc w:val="both"/>
        <w:rPr>
          <w:lang w:eastAsia="ja-JP"/>
        </w:rPr>
      </w:pPr>
      <w:r>
        <w:rPr>
          <w:rFonts w:hint="eastAsia"/>
          <w:lang w:eastAsia="ja-JP"/>
        </w:rPr>
        <w:t>In addition to this, in order to allow gNB to know PUCCH PH, type 2 PH calculation would be beneficial. Therefore we propose to support both type 1 and 2 PH calculation for real and virtual PHR.</w:t>
      </w:r>
    </w:p>
    <w:p w:rsidR="00FD33CC" w:rsidRDefault="00FD33CC" w:rsidP="00FD33CC">
      <w:pPr>
        <w:spacing w:after="0"/>
        <w:ind w:leftChars="50" w:left="1132" w:hangingChars="514" w:hanging="1032"/>
        <w:jc w:val="both"/>
        <w:rPr>
          <w:b/>
          <w:i/>
          <w:lang w:val="en-US" w:eastAsia="ja-JP"/>
        </w:rPr>
      </w:pPr>
      <w:r>
        <w:rPr>
          <w:rFonts w:hint="eastAsia"/>
          <w:b/>
          <w:i/>
          <w:lang w:val="en-US" w:eastAsia="ja-JP"/>
        </w:rPr>
        <w:t>Proposal 3</w:t>
      </w:r>
      <w:r w:rsidRPr="0081033D">
        <w:rPr>
          <w:rFonts w:hint="eastAsia"/>
          <w:b/>
          <w:i/>
          <w:lang w:val="en-US" w:eastAsia="ja-JP"/>
        </w:rPr>
        <w:t xml:space="preserve">: </w:t>
      </w:r>
      <w:r>
        <w:rPr>
          <w:rFonts w:hint="eastAsia"/>
          <w:b/>
          <w:i/>
          <w:lang w:val="en-US" w:eastAsia="ja-JP"/>
        </w:rPr>
        <w:t>Reuse type 1 and 2 PH calculation from Rel.14 for real and virtual PHR.</w:t>
      </w:r>
    </w:p>
    <w:p w:rsidR="00FD33CC" w:rsidRPr="00FD33CC" w:rsidRDefault="00FD33CC" w:rsidP="00FD33CC">
      <w:pPr>
        <w:spacing w:after="0"/>
        <w:ind w:leftChars="547" w:left="1558" w:hangingChars="231" w:hanging="464"/>
        <w:jc w:val="both"/>
        <w:rPr>
          <w:b/>
          <w:i/>
          <w:lang w:val="en-US" w:eastAsia="ja-JP"/>
        </w:rPr>
      </w:pPr>
      <w:r w:rsidRPr="00C9709A">
        <w:rPr>
          <w:rFonts w:hint="eastAsia"/>
          <w:b/>
          <w:i/>
          <w:lang w:val="en-US" w:eastAsia="ja-JP"/>
        </w:rPr>
        <w:t xml:space="preserve">Note: </w:t>
      </w:r>
      <w:r>
        <w:rPr>
          <w:rFonts w:hint="eastAsia"/>
          <w:b/>
          <w:i/>
          <w:lang w:val="en-US" w:eastAsia="ja-JP"/>
        </w:rPr>
        <w:t>type 1 PH calculation for real PH has been supported in RAN1#90bis.</w:t>
      </w:r>
    </w:p>
    <w:p w:rsidR="00174FF3" w:rsidRPr="0081033D" w:rsidRDefault="00174FF3" w:rsidP="00174FF3">
      <w:pPr>
        <w:pStyle w:val="10"/>
        <w:tabs>
          <w:tab w:val="clear" w:pos="432"/>
          <w:tab w:val="num" w:pos="522"/>
        </w:tabs>
        <w:ind w:left="522" w:hanging="522"/>
        <w:jc w:val="both"/>
        <w:rPr>
          <w:lang w:val="en-US" w:eastAsia="ja-JP"/>
        </w:rPr>
      </w:pPr>
      <w:r w:rsidRPr="0081033D">
        <w:rPr>
          <w:rFonts w:hint="eastAsia"/>
          <w:lang w:val="en-US" w:eastAsia="ja-JP"/>
        </w:rPr>
        <w:t>Conclusion</w:t>
      </w:r>
    </w:p>
    <w:p w:rsidR="00227339" w:rsidRDefault="00227339" w:rsidP="00174FF3">
      <w:pPr>
        <w:ind w:firstLineChars="51" w:firstLine="102"/>
        <w:jc w:val="both"/>
        <w:rPr>
          <w:lang w:val="en-US" w:eastAsia="ja-JP"/>
        </w:rPr>
      </w:pPr>
      <w:r w:rsidRPr="0081033D">
        <w:rPr>
          <w:lang w:val="en-US" w:eastAsia="ja-JP"/>
        </w:rPr>
        <w:t xml:space="preserve">In this contribution we discussed </w:t>
      </w:r>
      <w:r w:rsidR="00836F47" w:rsidRPr="0081033D">
        <w:rPr>
          <w:rFonts w:hint="eastAsia"/>
          <w:lang w:val="en-US" w:eastAsia="ja-JP"/>
        </w:rPr>
        <w:t xml:space="preserve">remaining issues on </w:t>
      </w:r>
      <w:r w:rsidR="00142BD0" w:rsidRPr="0081033D">
        <w:rPr>
          <w:rFonts w:hint="eastAsia"/>
          <w:lang w:val="en-US" w:eastAsia="ja-JP"/>
        </w:rPr>
        <w:t>power control framework for PUSCH transmission</w:t>
      </w:r>
      <w:r w:rsidRPr="0081033D">
        <w:rPr>
          <w:lang w:val="en-US" w:eastAsia="ja-JP"/>
        </w:rPr>
        <w:t>. Our proposal</w:t>
      </w:r>
      <w:r w:rsidR="00F77AC5" w:rsidRPr="0081033D">
        <w:rPr>
          <w:rFonts w:hint="eastAsia"/>
          <w:lang w:val="en-US" w:eastAsia="ja-JP"/>
        </w:rPr>
        <w:t>s</w:t>
      </w:r>
      <w:r w:rsidRPr="0081033D">
        <w:rPr>
          <w:lang w:val="en-US" w:eastAsia="ja-JP"/>
        </w:rPr>
        <w:t xml:space="preserve"> are </w:t>
      </w:r>
      <w:r w:rsidR="00E43F2F" w:rsidRPr="0081033D">
        <w:rPr>
          <w:lang w:val="en-US" w:eastAsia="ja-JP"/>
        </w:rPr>
        <w:t>as followed</w:t>
      </w:r>
      <w:r w:rsidR="00E43F2F" w:rsidRPr="0081033D">
        <w:rPr>
          <w:rFonts w:hint="eastAsia"/>
          <w:lang w:val="en-US" w:eastAsia="ja-JP"/>
        </w:rPr>
        <w:t>;</w:t>
      </w:r>
    </w:p>
    <w:p w:rsidR="00B35CEB" w:rsidRDefault="00B35CEB" w:rsidP="00B35CEB">
      <w:pPr>
        <w:spacing w:after="0"/>
        <w:ind w:leftChars="50" w:left="1132" w:hangingChars="514" w:hanging="1032"/>
        <w:jc w:val="both"/>
        <w:rPr>
          <w:b/>
          <w:i/>
          <w:lang w:val="en-US" w:eastAsia="ja-JP"/>
        </w:rPr>
      </w:pPr>
      <w:r>
        <w:rPr>
          <w:rFonts w:hint="eastAsia"/>
          <w:b/>
          <w:i/>
          <w:lang w:val="en-US" w:eastAsia="ja-JP"/>
        </w:rPr>
        <w:t>Proposal 1</w:t>
      </w:r>
      <w:r w:rsidRPr="0081033D">
        <w:rPr>
          <w:rFonts w:hint="eastAsia"/>
          <w:b/>
          <w:i/>
          <w:lang w:val="en-US" w:eastAsia="ja-JP"/>
        </w:rPr>
        <w:t xml:space="preserve">: </w:t>
      </w:r>
      <w:r>
        <w:rPr>
          <w:rFonts w:hint="eastAsia"/>
          <w:b/>
          <w:i/>
          <w:lang w:val="en-US" w:eastAsia="ja-JP"/>
        </w:rPr>
        <w:t>Reuse LTE power scaling function for</w:t>
      </w:r>
      <w:r>
        <w:rPr>
          <w:rFonts w:hint="eastAsia"/>
          <w:b/>
          <w:i/>
          <w:iCs/>
          <w:lang w:eastAsia="ja-JP"/>
        </w:rPr>
        <w:t xml:space="preserve"> PUSCH transmission from Rel.14</w:t>
      </w:r>
      <w:r>
        <w:rPr>
          <w:b/>
          <w:i/>
          <w:lang w:val="en-US" w:eastAsia="ja-JP"/>
        </w:rPr>
        <w:t>.</w:t>
      </w:r>
    </w:p>
    <w:p w:rsidR="00B35CEB" w:rsidRDefault="00B35CEB" w:rsidP="00B35CEB">
      <w:pPr>
        <w:spacing w:after="0"/>
        <w:ind w:leftChars="547" w:left="1558" w:hangingChars="231" w:hanging="464"/>
        <w:jc w:val="both"/>
        <w:rPr>
          <w:b/>
          <w:i/>
          <w:lang w:val="en-US" w:eastAsia="ja-JP"/>
        </w:rPr>
      </w:pPr>
      <w:r w:rsidRPr="00C9709A">
        <w:rPr>
          <w:rFonts w:hint="eastAsia"/>
          <w:b/>
          <w:i/>
          <w:lang w:val="en-US" w:eastAsia="ja-JP"/>
        </w:rPr>
        <w:t xml:space="preserve">Note: Only PUSCH-only transmission need to be reused, since </w:t>
      </w:r>
      <w:r w:rsidRPr="00C9709A">
        <w:rPr>
          <w:b/>
          <w:i/>
          <w:lang w:val="en-US" w:eastAsia="ja-JP"/>
        </w:rPr>
        <w:t xml:space="preserve">simultaneous transmission of PUSCH and PUCCH </w:t>
      </w:r>
      <w:r w:rsidRPr="00C9709A">
        <w:rPr>
          <w:rFonts w:hint="eastAsia"/>
          <w:b/>
          <w:i/>
          <w:lang w:val="en-US" w:eastAsia="ja-JP"/>
        </w:rPr>
        <w:t>among</w:t>
      </w:r>
      <w:r w:rsidRPr="00C9709A">
        <w:rPr>
          <w:b/>
          <w:i/>
          <w:lang w:val="en-US" w:eastAsia="ja-JP"/>
        </w:rPr>
        <w:t xml:space="preserve"> C</w:t>
      </w:r>
      <w:r w:rsidRPr="00C9709A">
        <w:rPr>
          <w:rFonts w:hint="eastAsia"/>
          <w:b/>
          <w:i/>
          <w:lang w:val="en-US" w:eastAsia="ja-JP"/>
        </w:rPr>
        <w:t>Cs</w:t>
      </w:r>
      <w:r w:rsidRPr="00C9709A">
        <w:rPr>
          <w:b/>
          <w:i/>
          <w:lang w:val="en-US" w:eastAsia="ja-JP"/>
        </w:rPr>
        <w:t xml:space="preserve"> </w:t>
      </w:r>
      <w:r w:rsidRPr="00C9709A">
        <w:rPr>
          <w:rFonts w:hint="eastAsia"/>
          <w:b/>
          <w:i/>
          <w:lang w:val="en-US" w:eastAsia="ja-JP"/>
        </w:rPr>
        <w:t>is not</w:t>
      </w:r>
      <w:r w:rsidRPr="00C9709A">
        <w:rPr>
          <w:b/>
          <w:i/>
          <w:lang w:val="en-US" w:eastAsia="ja-JP"/>
        </w:rPr>
        <w:t xml:space="preserve"> supported</w:t>
      </w:r>
      <w:r w:rsidRPr="00C9709A">
        <w:rPr>
          <w:rFonts w:hint="eastAsia"/>
          <w:b/>
          <w:i/>
          <w:lang w:val="en-US" w:eastAsia="ja-JP"/>
        </w:rPr>
        <w:t xml:space="preserve"> in Rel. 15 NR.</w:t>
      </w:r>
    </w:p>
    <w:p w:rsidR="00B35CEB" w:rsidRDefault="00B35CEB" w:rsidP="00B35CEB">
      <w:pPr>
        <w:spacing w:before="240"/>
        <w:ind w:leftChars="50" w:left="1132" w:hangingChars="514" w:hanging="1032"/>
        <w:jc w:val="both"/>
        <w:rPr>
          <w:b/>
          <w:i/>
          <w:lang w:val="en-US" w:eastAsia="ja-JP"/>
        </w:rPr>
      </w:pPr>
      <w:r>
        <w:rPr>
          <w:rFonts w:hint="eastAsia"/>
          <w:b/>
          <w:i/>
          <w:lang w:val="en-US" w:eastAsia="ja-JP"/>
        </w:rPr>
        <w:t>Proposal 2</w:t>
      </w:r>
      <w:r w:rsidRPr="0081033D">
        <w:rPr>
          <w:rFonts w:hint="eastAsia"/>
          <w:b/>
          <w:i/>
          <w:lang w:val="en-US" w:eastAsia="ja-JP"/>
        </w:rPr>
        <w:t xml:space="preserve">: </w:t>
      </w:r>
      <w:r>
        <w:rPr>
          <w:rFonts w:hint="eastAsia"/>
          <w:b/>
          <w:i/>
          <w:lang w:val="en-US" w:eastAsia="ja-JP"/>
        </w:rPr>
        <w:t>Support following formula for SRS power scaling:</w:t>
      </w:r>
    </w:p>
    <w:p w:rsidR="00B35CEB" w:rsidRDefault="00B35CEB" w:rsidP="00B35CEB">
      <w:pPr>
        <w:spacing w:after="0"/>
        <w:jc w:val="center"/>
        <w:rPr>
          <w:lang w:eastAsia="ja-JP"/>
        </w:rPr>
      </w:pPr>
      <w:r w:rsidRPr="00C17896">
        <w:rPr>
          <w:position w:val="-32"/>
        </w:rPr>
        <w:object w:dxaOrig="5140" w:dyaOrig="740">
          <v:shape id="_x0000_i1053" type="#_x0000_t75" style="width:256.9pt;height:36.85pt" o:ole="">
            <v:imagedata r:id="rId36" o:title=""/>
          </v:shape>
          <o:OLEObject Type="Embed" ProgID="Equation.3" ShapeID="_x0000_i1053" DrawAspect="Content" ObjectID="_1572441545" r:id="rId59"/>
        </w:object>
      </w:r>
    </w:p>
    <w:p w:rsidR="00FD33CC" w:rsidRDefault="00FD33CC" w:rsidP="00FD33CC">
      <w:pPr>
        <w:spacing w:after="0"/>
        <w:ind w:leftChars="50" w:left="1132" w:hangingChars="514" w:hanging="1032"/>
        <w:jc w:val="both"/>
        <w:rPr>
          <w:b/>
          <w:i/>
          <w:lang w:val="en-US" w:eastAsia="ja-JP"/>
        </w:rPr>
      </w:pPr>
      <w:r>
        <w:rPr>
          <w:rFonts w:hint="eastAsia"/>
          <w:b/>
          <w:i/>
          <w:lang w:val="en-US" w:eastAsia="ja-JP"/>
        </w:rPr>
        <w:t>Proposal 3</w:t>
      </w:r>
      <w:r w:rsidRPr="0081033D">
        <w:rPr>
          <w:rFonts w:hint="eastAsia"/>
          <w:b/>
          <w:i/>
          <w:lang w:val="en-US" w:eastAsia="ja-JP"/>
        </w:rPr>
        <w:t xml:space="preserve">: </w:t>
      </w:r>
      <w:r>
        <w:rPr>
          <w:rFonts w:hint="eastAsia"/>
          <w:b/>
          <w:i/>
          <w:lang w:val="en-US" w:eastAsia="ja-JP"/>
        </w:rPr>
        <w:t>Reuse type 1 and 2 PH calculation from Rel.14 for real and virtual PHR.</w:t>
      </w:r>
    </w:p>
    <w:p w:rsidR="00FD33CC" w:rsidRPr="00FD33CC" w:rsidRDefault="00FD33CC" w:rsidP="00FD33CC">
      <w:pPr>
        <w:spacing w:after="0"/>
        <w:ind w:leftChars="547" w:left="1558" w:hangingChars="231" w:hanging="464"/>
        <w:jc w:val="both"/>
        <w:rPr>
          <w:b/>
          <w:i/>
          <w:lang w:val="en-US" w:eastAsia="ja-JP"/>
        </w:rPr>
      </w:pPr>
      <w:r w:rsidRPr="00C9709A">
        <w:rPr>
          <w:rFonts w:hint="eastAsia"/>
          <w:b/>
          <w:i/>
          <w:lang w:val="en-US" w:eastAsia="ja-JP"/>
        </w:rPr>
        <w:t xml:space="preserve">Note: </w:t>
      </w:r>
      <w:r>
        <w:rPr>
          <w:rFonts w:hint="eastAsia"/>
          <w:b/>
          <w:i/>
          <w:lang w:val="en-US" w:eastAsia="ja-JP"/>
        </w:rPr>
        <w:t>type 1 PH calculation for real PH has been supported in RAN1#90bis.</w:t>
      </w:r>
    </w:p>
    <w:p w:rsidR="0069757C" w:rsidRPr="0081033D" w:rsidRDefault="0069757C" w:rsidP="005B52DD">
      <w:pPr>
        <w:pStyle w:val="10"/>
        <w:numPr>
          <w:ilvl w:val="0"/>
          <w:numId w:val="0"/>
        </w:numPr>
        <w:tabs>
          <w:tab w:val="num" w:pos="432"/>
        </w:tabs>
        <w:ind w:left="432" w:hanging="432"/>
        <w:jc w:val="both"/>
        <w:rPr>
          <w:lang w:val="en-US" w:eastAsia="ja-JP"/>
        </w:rPr>
      </w:pPr>
      <w:r w:rsidRPr="0081033D">
        <w:rPr>
          <w:lang w:val="en-US"/>
        </w:rPr>
        <w:t>Reference</w:t>
      </w:r>
    </w:p>
    <w:p w:rsidR="00B35CEB" w:rsidRDefault="00B35CEB" w:rsidP="00F87F55">
      <w:pPr>
        <w:rPr>
          <w:lang w:val="en-US" w:eastAsia="ja-JP"/>
        </w:rPr>
      </w:pPr>
      <w:r>
        <w:rPr>
          <w:lang w:val="en-US" w:eastAsia="ja-JP"/>
        </w:rPr>
        <w:t>[</w:t>
      </w:r>
      <w:r>
        <w:rPr>
          <w:rFonts w:hint="eastAsia"/>
          <w:lang w:val="en-US" w:eastAsia="ja-JP"/>
        </w:rPr>
        <w:t>1</w:t>
      </w:r>
      <w:r w:rsidRPr="00B35CEB">
        <w:rPr>
          <w:lang w:val="en-US" w:eastAsia="ja-JP"/>
        </w:rPr>
        <w:t>] Chairman’s note, RAN1#90bis, October 2017</w:t>
      </w:r>
      <w:r w:rsidRPr="00B35CEB">
        <w:rPr>
          <w:rFonts w:hint="eastAsia"/>
          <w:lang w:val="en-US" w:eastAsia="ja-JP"/>
        </w:rPr>
        <w:t xml:space="preserve"> </w:t>
      </w:r>
    </w:p>
    <w:p w:rsidR="00A6472D" w:rsidRPr="0081033D" w:rsidRDefault="00836F47" w:rsidP="00F87F55">
      <w:pPr>
        <w:rPr>
          <w:lang w:val="en-US" w:eastAsia="ja-JP"/>
        </w:rPr>
      </w:pPr>
      <w:r w:rsidRPr="0081033D">
        <w:rPr>
          <w:rFonts w:hint="eastAsia"/>
          <w:lang w:val="en-US" w:eastAsia="ja-JP"/>
        </w:rPr>
        <w:t>[2</w:t>
      </w:r>
      <w:r w:rsidR="00A6472D" w:rsidRPr="0081033D">
        <w:rPr>
          <w:rFonts w:hint="eastAsia"/>
          <w:lang w:val="en-US" w:eastAsia="ja-JP"/>
        </w:rPr>
        <w:t xml:space="preserve">] </w:t>
      </w:r>
      <w:r w:rsidR="00B35CEB" w:rsidRPr="00B35CEB">
        <w:rPr>
          <w:lang w:val="en-US" w:eastAsia="ja-JP"/>
        </w:rPr>
        <w:t>R2-1711868</w:t>
      </w:r>
      <w:r w:rsidR="00A6472D" w:rsidRPr="0081033D">
        <w:rPr>
          <w:lang w:val="en-US" w:eastAsia="ja-JP"/>
        </w:rPr>
        <w:t>, “</w:t>
      </w:r>
      <w:r w:rsidR="00B35CEB" w:rsidRPr="00B35CEB">
        <w:t>LS on RAN2 agreements related to PHR</w:t>
      </w:r>
      <w:r w:rsidR="00B35CEB">
        <w:rPr>
          <w:lang w:eastAsia="ja-JP"/>
        </w:rPr>
        <w:t>”, RAN</w:t>
      </w:r>
      <w:r w:rsidR="00B35CEB">
        <w:rPr>
          <w:rFonts w:hint="eastAsia"/>
          <w:lang w:eastAsia="ja-JP"/>
        </w:rPr>
        <w:t>2</w:t>
      </w:r>
      <w:r w:rsidRPr="0081033D">
        <w:rPr>
          <w:lang w:val="en-US" w:eastAsia="ja-JP"/>
        </w:rPr>
        <w:t xml:space="preserve">, </w:t>
      </w:r>
      <w:r w:rsidR="00B35CEB">
        <w:rPr>
          <w:rFonts w:hint="eastAsia"/>
          <w:lang w:val="en-US" w:eastAsia="ja-JP"/>
        </w:rPr>
        <w:t>October</w:t>
      </w:r>
      <w:r w:rsidR="00A6472D" w:rsidRPr="0081033D">
        <w:rPr>
          <w:lang w:val="en-US" w:eastAsia="ja-JP"/>
        </w:rPr>
        <w:t xml:space="preserve"> 2017</w:t>
      </w:r>
    </w:p>
    <w:sectPr w:rsidR="00A6472D" w:rsidRPr="0081033D" w:rsidSect="007D2899">
      <w:footerReference w:type="even" r:id="rId60"/>
      <w:footerReference w:type="default" r:id="rId6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85B" w:rsidRDefault="0058085B">
      <w:r>
        <w:separator/>
      </w:r>
    </w:p>
  </w:endnote>
  <w:endnote w:type="continuationSeparator" w:id="0">
    <w:p w:rsidR="0058085B" w:rsidRDefault="0058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A52AF">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85B" w:rsidRDefault="0058085B">
      <w:r>
        <w:separator/>
      </w:r>
    </w:p>
  </w:footnote>
  <w:footnote w:type="continuationSeparator" w:id="0">
    <w:p w:rsidR="0058085B" w:rsidRDefault="005808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7E538B4"/>
    <w:multiLevelType w:val="hybridMultilevel"/>
    <w:tmpl w:val="B2EEC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5"/>
  </w:num>
  <w:num w:numId="4">
    <w:abstractNumId w:val="10"/>
  </w:num>
  <w:num w:numId="5">
    <w:abstractNumId w:val="4"/>
  </w:num>
  <w:num w:numId="6">
    <w:abstractNumId w:val="1"/>
  </w:num>
  <w:num w:numId="7">
    <w:abstractNumId w:val="13"/>
  </w:num>
  <w:num w:numId="8">
    <w:abstractNumId w:val="5"/>
  </w:num>
  <w:num w:numId="9">
    <w:abstractNumId w:val="9"/>
  </w:num>
  <w:num w:numId="10">
    <w:abstractNumId w:val="16"/>
  </w:num>
  <w:num w:numId="11">
    <w:abstractNumId w:val="0"/>
  </w:num>
  <w:num w:numId="12">
    <w:abstractNumId w:val="12"/>
  </w:num>
  <w:num w:numId="13">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8"/>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094E"/>
    <w:rsid w:val="000029E3"/>
    <w:rsid w:val="00002A82"/>
    <w:rsid w:val="00002BBD"/>
    <w:rsid w:val="0000301D"/>
    <w:rsid w:val="000031F4"/>
    <w:rsid w:val="000032BF"/>
    <w:rsid w:val="00003883"/>
    <w:rsid w:val="00003ACB"/>
    <w:rsid w:val="00003C23"/>
    <w:rsid w:val="00004C21"/>
    <w:rsid w:val="00005FA7"/>
    <w:rsid w:val="000060B4"/>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26C"/>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33AC"/>
    <w:rsid w:val="00023634"/>
    <w:rsid w:val="00024030"/>
    <w:rsid w:val="000246F5"/>
    <w:rsid w:val="000248EA"/>
    <w:rsid w:val="00025392"/>
    <w:rsid w:val="00026854"/>
    <w:rsid w:val="00026BDF"/>
    <w:rsid w:val="00026DB4"/>
    <w:rsid w:val="00027229"/>
    <w:rsid w:val="000272AF"/>
    <w:rsid w:val="00027388"/>
    <w:rsid w:val="000274D9"/>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1F30"/>
    <w:rsid w:val="000420FB"/>
    <w:rsid w:val="00042BB6"/>
    <w:rsid w:val="00043184"/>
    <w:rsid w:val="00043978"/>
    <w:rsid w:val="00043D07"/>
    <w:rsid w:val="00044231"/>
    <w:rsid w:val="00044D9D"/>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4FDA"/>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34B0"/>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1988"/>
    <w:rsid w:val="000724BF"/>
    <w:rsid w:val="0007293B"/>
    <w:rsid w:val="000730D5"/>
    <w:rsid w:val="000737DA"/>
    <w:rsid w:val="00074CB3"/>
    <w:rsid w:val="0007532A"/>
    <w:rsid w:val="0007555F"/>
    <w:rsid w:val="00075669"/>
    <w:rsid w:val="00076671"/>
    <w:rsid w:val="000766D7"/>
    <w:rsid w:val="00076DB9"/>
    <w:rsid w:val="00077FE0"/>
    <w:rsid w:val="00080A63"/>
    <w:rsid w:val="00080DBA"/>
    <w:rsid w:val="00081BE0"/>
    <w:rsid w:val="00082C12"/>
    <w:rsid w:val="00082CE8"/>
    <w:rsid w:val="000830CF"/>
    <w:rsid w:val="0008317F"/>
    <w:rsid w:val="0008344F"/>
    <w:rsid w:val="0008351B"/>
    <w:rsid w:val="000841A8"/>
    <w:rsid w:val="00084301"/>
    <w:rsid w:val="0008452A"/>
    <w:rsid w:val="00084BE4"/>
    <w:rsid w:val="0008544F"/>
    <w:rsid w:val="00085C24"/>
    <w:rsid w:val="00085DB7"/>
    <w:rsid w:val="0008682B"/>
    <w:rsid w:val="0008701A"/>
    <w:rsid w:val="00090BB8"/>
    <w:rsid w:val="00091860"/>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74C"/>
    <w:rsid w:val="000A2815"/>
    <w:rsid w:val="000A28E4"/>
    <w:rsid w:val="000A29FB"/>
    <w:rsid w:val="000A2A53"/>
    <w:rsid w:val="000A2B2F"/>
    <w:rsid w:val="000A2D07"/>
    <w:rsid w:val="000A31E0"/>
    <w:rsid w:val="000A31FE"/>
    <w:rsid w:val="000A3A69"/>
    <w:rsid w:val="000A3D1C"/>
    <w:rsid w:val="000A4CD0"/>
    <w:rsid w:val="000A50B6"/>
    <w:rsid w:val="000A561C"/>
    <w:rsid w:val="000A6602"/>
    <w:rsid w:val="000A759C"/>
    <w:rsid w:val="000A786A"/>
    <w:rsid w:val="000A79E3"/>
    <w:rsid w:val="000A7D49"/>
    <w:rsid w:val="000B0077"/>
    <w:rsid w:val="000B0173"/>
    <w:rsid w:val="000B0B23"/>
    <w:rsid w:val="000B1E6D"/>
    <w:rsid w:val="000B24B0"/>
    <w:rsid w:val="000B289A"/>
    <w:rsid w:val="000B2A42"/>
    <w:rsid w:val="000B2EFB"/>
    <w:rsid w:val="000B327D"/>
    <w:rsid w:val="000B37AA"/>
    <w:rsid w:val="000B429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4A3"/>
    <w:rsid w:val="000C084C"/>
    <w:rsid w:val="000C086D"/>
    <w:rsid w:val="000C0A0E"/>
    <w:rsid w:val="000C0B1F"/>
    <w:rsid w:val="000C1106"/>
    <w:rsid w:val="000C1EBE"/>
    <w:rsid w:val="000C1F3E"/>
    <w:rsid w:val="000C285A"/>
    <w:rsid w:val="000C2D27"/>
    <w:rsid w:val="000C3599"/>
    <w:rsid w:val="000C40B0"/>
    <w:rsid w:val="000C40E9"/>
    <w:rsid w:val="000C4A55"/>
    <w:rsid w:val="000C4A8B"/>
    <w:rsid w:val="000C5396"/>
    <w:rsid w:val="000C5A23"/>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3F13"/>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58C"/>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147"/>
    <w:rsid w:val="00101CDC"/>
    <w:rsid w:val="001020C7"/>
    <w:rsid w:val="00102320"/>
    <w:rsid w:val="00102563"/>
    <w:rsid w:val="0010304A"/>
    <w:rsid w:val="0010384C"/>
    <w:rsid w:val="0010420A"/>
    <w:rsid w:val="00104258"/>
    <w:rsid w:val="00104408"/>
    <w:rsid w:val="00104417"/>
    <w:rsid w:val="00104CC3"/>
    <w:rsid w:val="001057DF"/>
    <w:rsid w:val="00105F29"/>
    <w:rsid w:val="00106497"/>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0C6"/>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41135"/>
    <w:rsid w:val="00141236"/>
    <w:rsid w:val="00142046"/>
    <w:rsid w:val="00142612"/>
    <w:rsid w:val="00142BD0"/>
    <w:rsid w:val="001430CD"/>
    <w:rsid w:val="0014388E"/>
    <w:rsid w:val="00144026"/>
    <w:rsid w:val="00144095"/>
    <w:rsid w:val="001445CF"/>
    <w:rsid w:val="00144A0C"/>
    <w:rsid w:val="00145BA0"/>
    <w:rsid w:val="00146083"/>
    <w:rsid w:val="001469DA"/>
    <w:rsid w:val="0014774C"/>
    <w:rsid w:val="00147E9C"/>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978"/>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3FC7"/>
    <w:rsid w:val="001940A4"/>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5A04"/>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3D8B"/>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1DA"/>
    <w:rsid w:val="001D7B7A"/>
    <w:rsid w:val="001D7BA7"/>
    <w:rsid w:val="001D7BC1"/>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E7496"/>
    <w:rsid w:val="001E79AC"/>
    <w:rsid w:val="001F080D"/>
    <w:rsid w:val="001F099B"/>
    <w:rsid w:val="001F1233"/>
    <w:rsid w:val="001F16E6"/>
    <w:rsid w:val="001F18E5"/>
    <w:rsid w:val="001F1920"/>
    <w:rsid w:val="001F1AFB"/>
    <w:rsid w:val="001F1E8A"/>
    <w:rsid w:val="001F2C22"/>
    <w:rsid w:val="001F32D1"/>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64F"/>
    <w:rsid w:val="00200CBF"/>
    <w:rsid w:val="00200D15"/>
    <w:rsid w:val="002019FF"/>
    <w:rsid w:val="00201CA6"/>
    <w:rsid w:val="00201D28"/>
    <w:rsid w:val="0020242B"/>
    <w:rsid w:val="00202A98"/>
    <w:rsid w:val="00202EBF"/>
    <w:rsid w:val="0020307A"/>
    <w:rsid w:val="002049C0"/>
    <w:rsid w:val="00205462"/>
    <w:rsid w:val="002057D6"/>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4C1F"/>
    <w:rsid w:val="00215273"/>
    <w:rsid w:val="00215749"/>
    <w:rsid w:val="00216158"/>
    <w:rsid w:val="0021749B"/>
    <w:rsid w:val="002175F8"/>
    <w:rsid w:val="0022115C"/>
    <w:rsid w:val="00221BA7"/>
    <w:rsid w:val="00224201"/>
    <w:rsid w:val="002247C0"/>
    <w:rsid w:val="002249BA"/>
    <w:rsid w:val="00225594"/>
    <w:rsid w:val="002265A2"/>
    <w:rsid w:val="00226E1C"/>
    <w:rsid w:val="00227339"/>
    <w:rsid w:val="002277B0"/>
    <w:rsid w:val="002303F4"/>
    <w:rsid w:val="00230A48"/>
    <w:rsid w:val="00230C94"/>
    <w:rsid w:val="00230EB7"/>
    <w:rsid w:val="00230EC6"/>
    <w:rsid w:val="002311DF"/>
    <w:rsid w:val="00231421"/>
    <w:rsid w:val="00231778"/>
    <w:rsid w:val="00231815"/>
    <w:rsid w:val="00232E4D"/>
    <w:rsid w:val="00233602"/>
    <w:rsid w:val="00233DC7"/>
    <w:rsid w:val="00234773"/>
    <w:rsid w:val="00234C5F"/>
    <w:rsid w:val="00234E59"/>
    <w:rsid w:val="002353D7"/>
    <w:rsid w:val="0023565A"/>
    <w:rsid w:val="002363EE"/>
    <w:rsid w:val="00236663"/>
    <w:rsid w:val="00236C6E"/>
    <w:rsid w:val="00237E42"/>
    <w:rsid w:val="002406C1"/>
    <w:rsid w:val="00241766"/>
    <w:rsid w:val="00242069"/>
    <w:rsid w:val="002420FA"/>
    <w:rsid w:val="002426B6"/>
    <w:rsid w:val="002428D1"/>
    <w:rsid w:val="00243FD4"/>
    <w:rsid w:val="00244190"/>
    <w:rsid w:val="00245579"/>
    <w:rsid w:val="002461C3"/>
    <w:rsid w:val="0024641D"/>
    <w:rsid w:val="00246E23"/>
    <w:rsid w:val="00246E42"/>
    <w:rsid w:val="002477DE"/>
    <w:rsid w:val="0025167B"/>
    <w:rsid w:val="002527E0"/>
    <w:rsid w:val="00252C11"/>
    <w:rsid w:val="00252C9A"/>
    <w:rsid w:val="002541E7"/>
    <w:rsid w:val="002546FA"/>
    <w:rsid w:val="00254888"/>
    <w:rsid w:val="002556D9"/>
    <w:rsid w:val="00255927"/>
    <w:rsid w:val="002559A4"/>
    <w:rsid w:val="00255C09"/>
    <w:rsid w:val="00255F40"/>
    <w:rsid w:val="002560F6"/>
    <w:rsid w:val="00256328"/>
    <w:rsid w:val="002565E1"/>
    <w:rsid w:val="0025665A"/>
    <w:rsid w:val="002566FB"/>
    <w:rsid w:val="00257130"/>
    <w:rsid w:val="00257F31"/>
    <w:rsid w:val="00260006"/>
    <w:rsid w:val="002604B0"/>
    <w:rsid w:val="00260C47"/>
    <w:rsid w:val="00261335"/>
    <w:rsid w:val="00261FBA"/>
    <w:rsid w:val="002623A5"/>
    <w:rsid w:val="002626BC"/>
    <w:rsid w:val="002626CB"/>
    <w:rsid w:val="00262E67"/>
    <w:rsid w:val="002635B5"/>
    <w:rsid w:val="00263897"/>
    <w:rsid w:val="00263B56"/>
    <w:rsid w:val="00263CB4"/>
    <w:rsid w:val="002647D1"/>
    <w:rsid w:val="00265201"/>
    <w:rsid w:val="002658E7"/>
    <w:rsid w:val="00265CA7"/>
    <w:rsid w:val="00265EEB"/>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0B5"/>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78C"/>
    <w:rsid w:val="00296048"/>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4575"/>
    <w:rsid w:val="002A5A2D"/>
    <w:rsid w:val="002A5CD9"/>
    <w:rsid w:val="002A679B"/>
    <w:rsid w:val="002A6962"/>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627"/>
    <w:rsid w:val="002B6395"/>
    <w:rsid w:val="002B75CC"/>
    <w:rsid w:val="002C034B"/>
    <w:rsid w:val="002C07D7"/>
    <w:rsid w:val="002C1AC5"/>
    <w:rsid w:val="002C24C8"/>
    <w:rsid w:val="002C27CE"/>
    <w:rsid w:val="002C2D18"/>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58E"/>
    <w:rsid w:val="002D4919"/>
    <w:rsid w:val="002D4A80"/>
    <w:rsid w:val="002D5DDD"/>
    <w:rsid w:val="002D72B1"/>
    <w:rsid w:val="002D772D"/>
    <w:rsid w:val="002E0327"/>
    <w:rsid w:val="002E092A"/>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44"/>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7BA"/>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5D9D"/>
    <w:rsid w:val="003165B3"/>
    <w:rsid w:val="00316A23"/>
    <w:rsid w:val="00316C30"/>
    <w:rsid w:val="00317BEF"/>
    <w:rsid w:val="00320155"/>
    <w:rsid w:val="00321F51"/>
    <w:rsid w:val="00322EBD"/>
    <w:rsid w:val="00323F04"/>
    <w:rsid w:val="003248DA"/>
    <w:rsid w:val="00324937"/>
    <w:rsid w:val="00325C68"/>
    <w:rsid w:val="00325D20"/>
    <w:rsid w:val="00326129"/>
    <w:rsid w:val="003267B9"/>
    <w:rsid w:val="00327158"/>
    <w:rsid w:val="003275B9"/>
    <w:rsid w:val="00327B03"/>
    <w:rsid w:val="00327EF9"/>
    <w:rsid w:val="00330243"/>
    <w:rsid w:val="003306A0"/>
    <w:rsid w:val="00330EBE"/>
    <w:rsid w:val="003316A4"/>
    <w:rsid w:val="00331FAF"/>
    <w:rsid w:val="003321A4"/>
    <w:rsid w:val="003324CA"/>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D8F"/>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364"/>
    <w:rsid w:val="00374520"/>
    <w:rsid w:val="00374F98"/>
    <w:rsid w:val="00375120"/>
    <w:rsid w:val="00375252"/>
    <w:rsid w:val="003752B5"/>
    <w:rsid w:val="00375A6C"/>
    <w:rsid w:val="00375BE5"/>
    <w:rsid w:val="0037639A"/>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024"/>
    <w:rsid w:val="00387174"/>
    <w:rsid w:val="00387BA4"/>
    <w:rsid w:val="00390F3B"/>
    <w:rsid w:val="003915C5"/>
    <w:rsid w:val="003916AB"/>
    <w:rsid w:val="00391CF7"/>
    <w:rsid w:val="00392F02"/>
    <w:rsid w:val="00393306"/>
    <w:rsid w:val="00394151"/>
    <w:rsid w:val="00394216"/>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A6E"/>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128"/>
    <w:rsid w:val="003B1819"/>
    <w:rsid w:val="003B2A8C"/>
    <w:rsid w:val="003B30AB"/>
    <w:rsid w:val="003B394C"/>
    <w:rsid w:val="003B3BF9"/>
    <w:rsid w:val="003B3F65"/>
    <w:rsid w:val="003B471B"/>
    <w:rsid w:val="003B53D8"/>
    <w:rsid w:val="003B5714"/>
    <w:rsid w:val="003B5B30"/>
    <w:rsid w:val="003B5BA1"/>
    <w:rsid w:val="003B5F4D"/>
    <w:rsid w:val="003B60F8"/>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1B"/>
    <w:rsid w:val="003C7753"/>
    <w:rsid w:val="003C7927"/>
    <w:rsid w:val="003D0C0C"/>
    <w:rsid w:val="003D109E"/>
    <w:rsid w:val="003D10D1"/>
    <w:rsid w:val="003D1436"/>
    <w:rsid w:val="003D1750"/>
    <w:rsid w:val="003D1991"/>
    <w:rsid w:val="003D1B40"/>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0DAE"/>
    <w:rsid w:val="003F10DC"/>
    <w:rsid w:val="003F1282"/>
    <w:rsid w:val="003F13B8"/>
    <w:rsid w:val="003F1985"/>
    <w:rsid w:val="003F1A0E"/>
    <w:rsid w:val="003F28F9"/>
    <w:rsid w:val="003F2DA5"/>
    <w:rsid w:val="003F2E56"/>
    <w:rsid w:val="003F3C05"/>
    <w:rsid w:val="003F3F64"/>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6B38"/>
    <w:rsid w:val="004076F1"/>
    <w:rsid w:val="004079A4"/>
    <w:rsid w:val="00407A40"/>
    <w:rsid w:val="00407D4A"/>
    <w:rsid w:val="0041019D"/>
    <w:rsid w:val="004105DB"/>
    <w:rsid w:val="00410D33"/>
    <w:rsid w:val="00411B3A"/>
    <w:rsid w:val="00411CAB"/>
    <w:rsid w:val="00411DE9"/>
    <w:rsid w:val="00413399"/>
    <w:rsid w:val="00413533"/>
    <w:rsid w:val="00414383"/>
    <w:rsid w:val="004148FF"/>
    <w:rsid w:val="00414A5F"/>
    <w:rsid w:val="00414BD6"/>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15E"/>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B2B"/>
    <w:rsid w:val="00440C6D"/>
    <w:rsid w:val="00441203"/>
    <w:rsid w:val="0044125C"/>
    <w:rsid w:val="0044130D"/>
    <w:rsid w:val="00441AFE"/>
    <w:rsid w:val="00441C17"/>
    <w:rsid w:val="00441FF8"/>
    <w:rsid w:val="00441FFE"/>
    <w:rsid w:val="004422CD"/>
    <w:rsid w:val="00442C7D"/>
    <w:rsid w:val="0044397D"/>
    <w:rsid w:val="00443FD4"/>
    <w:rsid w:val="004445A4"/>
    <w:rsid w:val="00445605"/>
    <w:rsid w:val="00445800"/>
    <w:rsid w:val="00445CCB"/>
    <w:rsid w:val="00445F43"/>
    <w:rsid w:val="0044602B"/>
    <w:rsid w:val="0044606C"/>
    <w:rsid w:val="00446644"/>
    <w:rsid w:val="00446FAC"/>
    <w:rsid w:val="004479A3"/>
    <w:rsid w:val="004479FA"/>
    <w:rsid w:val="00447E29"/>
    <w:rsid w:val="004500BB"/>
    <w:rsid w:val="004500F4"/>
    <w:rsid w:val="00450852"/>
    <w:rsid w:val="00451A47"/>
    <w:rsid w:val="00452E02"/>
    <w:rsid w:val="00453E8C"/>
    <w:rsid w:val="00453EDC"/>
    <w:rsid w:val="00454214"/>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5DA6"/>
    <w:rsid w:val="00485ED0"/>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84E"/>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A2D"/>
    <w:rsid w:val="004A7B1E"/>
    <w:rsid w:val="004B042E"/>
    <w:rsid w:val="004B0B75"/>
    <w:rsid w:val="004B0F26"/>
    <w:rsid w:val="004B175B"/>
    <w:rsid w:val="004B1B88"/>
    <w:rsid w:val="004B1F23"/>
    <w:rsid w:val="004B23C3"/>
    <w:rsid w:val="004B2E25"/>
    <w:rsid w:val="004B36F6"/>
    <w:rsid w:val="004B3753"/>
    <w:rsid w:val="004B3A61"/>
    <w:rsid w:val="004B3F12"/>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2550"/>
    <w:rsid w:val="004C28D4"/>
    <w:rsid w:val="004C321F"/>
    <w:rsid w:val="004C470B"/>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4C65"/>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4FF9"/>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89"/>
    <w:rsid w:val="00505386"/>
    <w:rsid w:val="0050595F"/>
    <w:rsid w:val="005061A1"/>
    <w:rsid w:val="005068E4"/>
    <w:rsid w:val="00506CAE"/>
    <w:rsid w:val="00507525"/>
    <w:rsid w:val="00507B00"/>
    <w:rsid w:val="00507B9C"/>
    <w:rsid w:val="00510D81"/>
    <w:rsid w:val="00511476"/>
    <w:rsid w:val="0051190A"/>
    <w:rsid w:val="00511FD4"/>
    <w:rsid w:val="00512906"/>
    <w:rsid w:val="00512FD7"/>
    <w:rsid w:val="005134F9"/>
    <w:rsid w:val="00513A7C"/>
    <w:rsid w:val="00514CD7"/>
    <w:rsid w:val="0051521E"/>
    <w:rsid w:val="005159AB"/>
    <w:rsid w:val="005167E8"/>
    <w:rsid w:val="00517286"/>
    <w:rsid w:val="005201CB"/>
    <w:rsid w:val="005210E7"/>
    <w:rsid w:val="00521297"/>
    <w:rsid w:val="00521369"/>
    <w:rsid w:val="0052176E"/>
    <w:rsid w:val="00521FC8"/>
    <w:rsid w:val="005220E2"/>
    <w:rsid w:val="00523323"/>
    <w:rsid w:val="00523543"/>
    <w:rsid w:val="00524D75"/>
    <w:rsid w:val="00524DB5"/>
    <w:rsid w:val="005250CF"/>
    <w:rsid w:val="005250F6"/>
    <w:rsid w:val="00525533"/>
    <w:rsid w:val="005257F6"/>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763"/>
    <w:rsid w:val="00551D34"/>
    <w:rsid w:val="00551FCA"/>
    <w:rsid w:val="005521A5"/>
    <w:rsid w:val="0055246D"/>
    <w:rsid w:val="00552D6D"/>
    <w:rsid w:val="00553913"/>
    <w:rsid w:val="00553A23"/>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68EA"/>
    <w:rsid w:val="005670EA"/>
    <w:rsid w:val="0056774B"/>
    <w:rsid w:val="00567D53"/>
    <w:rsid w:val="00570586"/>
    <w:rsid w:val="00571259"/>
    <w:rsid w:val="005719CC"/>
    <w:rsid w:val="00572669"/>
    <w:rsid w:val="00574F66"/>
    <w:rsid w:val="00575CE2"/>
    <w:rsid w:val="00575ED0"/>
    <w:rsid w:val="00576050"/>
    <w:rsid w:val="00576135"/>
    <w:rsid w:val="00576D83"/>
    <w:rsid w:val="00580227"/>
    <w:rsid w:val="0058025A"/>
    <w:rsid w:val="0058085B"/>
    <w:rsid w:val="00580F54"/>
    <w:rsid w:val="005816AC"/>
    <w:rsid w:val="00581AEE"/>
    <w:rsid w:val="00581DE9"/>
    <w:rsid w:val="0058268D"/>
    <w:rsid w:val="00582AE9"/>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3E08"/>
    <w:rsid w:val="00594236"/>
    <w:rsid w:val="005942D5"/>
    <w:rsid w:val="0059466A"/>
    <w:rsid w:val="00594752"/>
    <w:rsid w:val="00594C6A"/>
    <w:rsid w:val="0059533D"/>
    <w:rsid w:val="00595D7D"/>
    <w:rsid w:val="00596215"/>
    <w:rsid w:val="00596D2E"/>
    <w:rsid w:val="0059707F"/>
    <w:rsid w:val="00597542"/>
    <w:rsid w:val="00597A9E"/>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6910"/>
    <w:rsid w:val="005A7A96"/>
    <w:rsid w:val="005B03BF"/>
    <w:rsid w:val="005B0567"/>
    <w:rsid w:val="005B0667"/>
    <w:rsid w:val="005B0C0B"/>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628"/>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BAC"/>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5E33"/>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97E"/>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1C88"/>
    <w:rsid w:val="00603617"/>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8A9"/>
    <w:rsid w:val="00615ECC"/>
    <w:rsid w:val="00616405"/>
    <w:rsid w:val="0061678E"/>
    <w:rsid w:val="006173AF"/>
    <w:rsid w:val="00617837"/>
    <w:rsid w:val="006178B0"/>
    <w:rsid w:val="006178BC"/>
    <w:rsid w:val="006201BE"/>
    <w:rsid w:val="006205C1"/>
    <w:rsid w:val="00620865"/>
    <w:rsid w:val="00620D81"/>
    <w:rsid w:val="0062180E"/>
    <w:rsid w:val="0062187A"/>
    <w:rsid w:val="00621B03"/>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37F20"/>
    <w:rsid w:val="00640163"/>
    <w:rsid w:val="006404BF"/>
    <w:rsid w:val="00640593"/>
    <w:rsid w:val="00640646"/>
    <w:rsid w:val="006411FD"/>
    <w:rsid w:val="006415CF"/>
    <w:rsid w:val="00641659"/>
    <w:rsid w:val="00643CD3"/>
    <w:rsid w:val="00643E86"/>
    <w:rsid w:val="006445E9"/>
    <w:rsid w:val="006448BA"/>
    <w:rsid w:val="00644C82"/>
    <w:rsid w:val="00645576"/>
    <w:rsid w:val="006462BF"/>
    <w:rsid w:val="00647BB8"/>
    <w:rsid w:val="00647E80"/>
    <w:rsid w:val="006504BB"/>
    <w:rsid w:val="006505BC"/>
    <w:rsid w:val="00650E47"/>
    <w:rsid w:val="006523AD"/>
    <w:rsid w:val="006523C6"/>
    <w:rsid w:val="0065251A"/>
    <w:rsid w:val="00652BD8"/>
    <w:rsid w:val="00652CB1"/>
    <w:rsid w:val="0065356C"/>
    <w:rsid w:val="00654F42"/>
    <w:rsid w:val="006551F3"/>
    <w:rsid w:val="00655DCB"/>
    <w:rsid w:val="00655E22"/>
    <w:rsid w:val="00656812"/>
    <w:rsid w:val="0065698A"/>
    <w:rsid w:val="0065711D"/>
    <w:rsid w:val="00657398"/>
    <w:rsid w:val="00657EEF"/>
    <w:rsid w:val="006604F8"/>
    <w:rsid w:val="006606E2"/>
    <w:rsid w:val="00660770"/>
    <w:rsid w:val="00660B3F"/>
    <w:rsid w:val="00661043"/>
    <w:rsid w:val="0066118E"/>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4592"/>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AAD"/>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66A"/>
    <w:rsid w:val="006B083A"/>
    <w:rsid w:val="006B08DE"/>
    <w:rsid w:val="006B0935"/>
    <w:rsid w:val="006B0EA0"/>
    <w:rsid w:val="006B15BF"/>
    <w:rsid w:val="006B1C59"/>
    <w:rsid w:val="006B2346"/>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136"/>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19D"/>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259"/>
    <w:rsid w:val="006F1573"/>
    <w:rsid w:val="006F1E52"/>
    <w:rsid w:val="006F1F48"/>
    <w:rsid w:val="006F2147"/>
    <w:rsid w:val="006F2400"/>
    <w:rsid w:val="006F3228"/>
    <w:rsid w:val="006F496F"/>
    <w:rsid w:val="006F4AA6"/>
    <w:rsid w:val="006F4B7B"/>
    <w:rsid w:val="006F4DBC"/>
    <w:rsid w:val="006F4F21"/>
    <w:rsid w:val="006F680A"/>
    <w:rsid w:val="006F6978"/>
    <w:rsid w:val="006F6AC9"/>
    <w:rsid w:val="006F6B45"/>
    <w:rsid w:val="006F6E6E"/>
    <w:rsid w:val="006F76D1"/>
    <w:rsid w:val="006F7BA6"/>
    <w:rsid w:val="0070074F"/>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5A4"/>
    <w:rsid w:val="00706817"/>
    <w:rsid w:val="00706CEE"/>
    <w:rsid w:val="007076D5"/>
    <w:rsid w:val="00707A97"/>
    <w:rsid w:val="00707B17"/>
    <w:rsid w:val="007107FF"/>
    <w:rsid w:val="007108D8"/>
    <w:rsid w:val="00710EA9"/>
    <w:rsid w:val="00710EBF"/>
    <w:rsid w:val="007113BE"/>
    <w:rsid w:val="00711478"/>
    <w:rsid w:val="0071157E"/>
    <w:rsid w:val="007116BF"/>
    <w:rsid w:val="00711F11"/>
    <w:rsid w:val="00712B7E"/>
    <w:rsid w:val="00712CBA"/>
    <w:rsid w:val="00714531"/>
    <w:rsid w:val="00714A0D"/>
    <w:rsid w:val="007156DF"/>
    <w:rsid w:val="00715F13"/>
    <w:rsid w:val="00716001"/>
    <w:rsid w:val="0071673D"/>
    <w:rsid w:val="00716F71"/>
    <w:rsid w:val="00720689"/>
    <w:rsid w:val="00721209"/>
    <w:rsid w:val="00721399"/>
    <w:rsid w:val="007213B6"/>
    <w:rsid w:val="0072166E"/>
    <w:rsid w:val="00721679"/>
    <w:rsid w:val="00721D28"/>
    <w:rsid w:val="00721D85"/>
    <w:rsid w:val="00722134"/>
    <w:rsid w:val="007221B2"/>
    <w:rsid w:val="007225D7"/>
    <w:rsid w:val="00723562"/>
    <w:rsid w:val="007236F8"/>
    <w:rsid w:val="007237FF"/>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4D23"/>
    <w:rsid w:val="00735335"/>
    <w:rsid w:val="00735AF4"/>
    <w:rsid w:val="00737096"/>
    <w:rsid w:val="0073715A"/>
    <w:rsid w:val="00737D0D"/>
    <w:rsid w:val="007409D3"/>
    <w:rsid w:val="0074249E"/>
    <w:rsid w:val="00742990"/>
    <w:rsid w:val="0074320E"/>
    <w:rsid w:val="007433FB"/>
    <w:rsid w:val="007436EE"/>
    <w:rsid w:val="007439FC"/>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5895"/>
    <w:rsid w:val="00756A46"/>
    <w:rsid w:val="00757096"/>
    <w:rsid w:val="0075746E"/>
    <w:rsid w:val="007577FD"/>
    <w:rsid w:val="00757F25"/>
    <w:rsid w:val="007601B6"/>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1C34"/>
    <w:rsid w:val="00771E8A"/>
    <w:rsid w:val="00772F91"/>
    <w:rsid w:val="00772FBC"/>
    <w:rsid w:val="0077333A"/>
    <w:rsid w:val="00773968"/>
    <w:rsid w:val="007739A8"/>
    <w:rsid w:val="00773AFC"/>
    <w:rsid w:val="00773F65"/>
    <w:rsid w:val="0077434B"/>
    <w:rsid w:val="007747B8"/>
    <w:rsid w:val="00775371"/>
    <w:rsid w:val="007754EA"/>
    <w:rsid w:val="00775A08"/>
    <w:rsid w:val="007771B4"/>
    <w:rsid w:val="007771C3"/>
    <w:rsid w:val="007775B2"/>
    <w:rsid w:val="00777768"/>
    <w:rsid w:val="0077799F"/>
    <w:rsid w:val="00777E61"/>
    <w:rsid w:val="00780A05"/>
    <w:rsid w:val="007810F2"/>
    <w:rsid w:val="007816ED"/>
    <w:rsid w:val="00782785"/>
    <w:rsid w:val="00783032"/>
    <w:rsid w:val="007846F4"/>
    <w:rsid w:val="00784824"/>
    <w:rsid w:val="007850F8"/>
    <w:rsid w:val="00786747"/>
    <w:rsid w:val="00786A8F"/>
    <w:rsid w:val="00786B51"/>
    <w:rsid w:val="00790916"/>
    <w:rsid w:val="00790B21"/>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4D5"/>
    <w:rsid w:val="00795625"/>
    <w:rsid w:val="007956DB"/>
    <w:rsid w:val="00795CC8"/>
    <w:rsid w:val="00796238"/>
    <w:rsid w:val="00796D08"/>
    <w:rsid w:val="00796FBD"/>
    <w:rsid w:val="007972D3"/>
    <w:rsid w:val="0079758B"/>
    <w:rsid w:val="00797CED"/>
    <w:rsid w:val="00797E2F"/>
    <w:rsid w:val="007A065B"/>
    <w:rsid w:val="007A0BD1"/>
    <w:rsid w:val="007A1A49"/>
    <w:rsid w:val="007A1F2C"/>
    <w:rsid w:val="007A2462"/>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608"/>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398E"/>
    <w:rsid w:val="007D47CD"/>
    <w:rsid w:val="007D67F2"/>
    <w:rsid w:val="007D6CE6"/>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AD7"/>
    <w:rsid w:val="007F3CB2"/>
    <w:rsid w:val="007F51CC"/>
    <w:rsid w:val="007F5F94"/>
    <w:rsid w:val="007F6032"/>
    <w:rsid w:val="007F73FA"/>
    <w:rsid w:val="007F7987"/>
    <w:rsid w:val="007F7FC8"/>
    <w:rsid w:val="008000EE"/>
    <w:rsid w:val="00800130"/>
    <w:rsid w:val="00800B65"/>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1033D"/>
    <w:rsid w:val="00810344"/>
    <w:rsid w:val="0081035E"/>
    <w:rsid w:val="00811620"/>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3BF"/>
    <w:rsid w:val="00817528"/>
    <w:rsid w:val="00817A23"/>
    <w:rsid w:val="00817A4E"/>
    <w:rsid w:val="008209B8"/>
    <w:rsid w:val="00821285"/>
    <w:rsid w:val="00821363"/>
    <w:rsid w:val="008215A0"/>
    <w:rsid w:val="0082276A"/>
    <w:rsid w:val="0082325F"/>
    <w:rsid w:val="008238B8"/>
    <w:rsid w:val="00823E1C"/>
    <w:rsid w:val="0082472F"/>
    <w:rsid w:val="00824D2A"/>
    <w:rsid w:val="00824ED4"/>
    <w:rsid w:val="0082599F"/>
    <w:rsid w:val="00825E79"/>
    <w:rsid w:val="00826E8D"/>
    <w:rsid w:val="0082735E"/>
    <w:rsid w:val="008276FE"/>
    <w:rsid w:val="00827F68"/>
    <w:rsid w:val="008307CB"/>
    <w:rsid w:val="008310D9"/>
    <w:rsid w:val="0083163A"/>
    <w:rsid w:val="008318A3"/>
    <w:rsid w:val="00831A7C"/>
    <w:rsid w:val="00831E74"/>
    <w:rsid w:val="0083247C"/>
    <w:rsid w:val="008337EF"/>
    <w:rsid w:val="0083394A"/>
    <w:rsid w:val="00834639"/>
    <w:rsid w:val="00834D0C"/>
    <w:rsid w:val="008358E1"/>
    <w:rsid w:val="00835FD5"/>
    <w:rsid w:val="00836128"/>
    <w:rsid w:val="008363B2"/>
    <w:rsid w:val="00836C03"/>
    <w:rsid w:val="00836F47"/>
    <w:rsid w:val="008372F7"/>
    <w:rsid w:val="0083743F"/>
    <w:rsid w:val="00837AA5"/>
    <w:rsid w:val="00837DE8"/>
    <w:rsid w:val="0084009E"/>
    <w:rsid w:val="0084078A"/>
    <w:rsid w:val="00841439"/>
    <w:rsid w:val="00841619"/>
    <w:rsid w:val="0084182C"/>
    <w:rsid w:val="00842010"/>
    <w:rsid w:val="00842E2F"/>
    <w:rsid w:val="008436A4"/>
    <w:rsid w:val="0084379E"/>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7C8"/>
    <w:rsid w:val="00857AA3"/>
    <w:rsid w:val="00857D43"/>
    <w:rsid w:val="00857EF5"/>
    <w:rsid w:val="00861728"/>
    <w:rsid w:val="00861C6D"/>
    <w:rsid w:val="00862A1F"/>
    <w:rsid w:val="00862D5C"/>
    <w:rsid w:val="008632C0"/>
    <w:rsid w:val="00863514"/>
    <w:rsid w:val="00864687"/>
    <w:rsid w:val="00864A7E"/>
    <w:rsid w:val="00865893"/>
    <w:rsid w:val="00865F00"/>
    <w:rsid w:val="00866A8C"/>
    <w:rsid w:val="00866B14"/>
    <w:rsid w:val="0086772C"/>
    <w:rsid w:val="0087054B"/>
    <w:rsid w:val="008705FD"/>
    <w:rsid w:val="00870B00"/>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7D7"/>
    <w:rsid w:val="00881D0A"/>
    <w:rsid w:val="00881FDD"/>
    <w:rsid w:val="00882410"/>
    <w:rsid w:val="00882E2E"/>
    <w:rsid w:val="00883201"/>
    <w:rsid w:val="0088324B"/>
    <w:rsid w:val="00883CF5"/>
    <w:rsid w:val="00883EEA"/>
    <w:rsid w:val="008842E0"/>
    <w:rsid w:val="0088447E"/>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10BC"/>
    <w:rsid w:val="008915DE"/>
    <w:rsid w:val="00891718"/>
    <w:rsid w:val="00891CAF"/>
    <w:rsid w:val="00891E17"/>
    <w:rsid w:val="00891E3A"/>
    <w:rsid w:val="008924A9"/>
    <w:rsid w:val="008928F5"/>
    <w:rsid w:val="00892DDB"/>
    <w:rsid w:val="008930F3"/>
    <w:rsid w:val="0089367F"/>
    <w:rsid w:val="0089370C"/>
    <w:rsid w:val="00893744"/>
    <w:rsid w:val="008940E3"/>
    <w:rsid w:val="0089466D"/>
    <w:rsid w:val="008947C0"/>
    <w:rsid w:val="00894920"/>
    <w:rsid w:val="008949E2"/>
    <w:rsid w:val="00894F86"/>
    <w:rsid w:val="008951A8"/>
    <w:rsid w:val="008968D7"/>
    <w:rsid w:val="00896A02"/>
    <w:rsid w:val="00896AE0"/>
    <w:rsid w:val="00896DB2"/>
    <w:rsid w:val="00896EB8"/>
    <w:rsid w:val="00896F0D"/>
    <w:rsid w:val="0089728D"/>
    <w:rsid w:val="008A072D"/>
    <w:rsid w:val="008A07BF"/>
    <w:rsid w:val="008A0BD2"/>
    <w:rsid w:val="008A0E21"/>
    <w:rsid w:val="008A1EB8"/>
    <w:rsid w:val="008A2168"/>
    <w:rsid w:val="008A2610"/>
    <w:rsid w:val="008A2701"/>
    <w:rsid w:val="008A3494"/>
    <w:rsid w:val="008A4C71"/>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398B"/>
    <w:rsid w:val="008C4E64"/>
    <w:rsid w:val="008C53FE"/>
    <w:rsid w:val="008C5A13"/>
    <w:rsid w:val="008C5A20"/>
    <w:rsid w:val="008C6D6D"/>
    <w:rsid w:val="008C7629"/>
    <w:rsid w:val="008C78C6"/>
    <w:rsid w:val="008C7C14"/>
    <w:rsid w:val="008C7F01"/>
    <w:rsid w:val="008D05D9"/>
    <w:rsid w:val="008D0C85"/>
    <w:rsid w:val="008D0DFF"/>
    <w:rsid w:val="008D151C"/>
    <w:rsid w:val="008D207A"/>
    <w:rsid w:val="008D23C6"/>
    <w:rsid w:val="008D3567"/>
    <w:rsid w:val="008D3952"/>
    <w:rsid w:val="008D3AAB"/>
    <w:rsid w:val="008D3B93"/>
    <w:rsid w:val="008D3F73"/>
    <w:rsid w:val="008D59F7"/>
    <w:rsid w:val="008D5A2D"/>
    <w:rsid w:val="008D5AD4"/>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4D8E"/>
    <w:rsid w:val="008E4ED2"/>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120"/>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B5E"/>
    <w:rsid w:val="00912095"/>
    <w:rsid w:val="00912569"/>
    <w:rsid w:val="009136DA"/>
    <w:rsid w:val="00913AD8"/>
    <w:rsid w:val="00913D78"/>
    <w:rsid w:val="00913FF8"/>
    <w:rsid w:val="0091417E"/>
    <w:rsid w:val="00914799"/>
    <w:rsid w:val="00914A3A"/>
    <w:rsid w:val="009159CA"/>
    <w:rsid w:val="00916511"/>
    <w:rsid w:val="009166B3"/>
    <w:rsid w:val="00917906"/>
    <w:rsid w:val="00917B84"/>
    <w:rsid w:val="009200ED"/>
    <w:rsid w:val="0092010E"/>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5ABB"/>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80D"/>
    <w:rsid w:val="00953893"/>
    <w:rsid w:val="00953AFB"/>
    <w:rsid w:val="00953C57"/>
    <w:rsid w:val="00953EA9"/>
    <w:rsid w:val="00954F0F"/>
    <w:rsid w:val="00954F65"/>
    <w:rsid w:val="00955D1B"/>
    <w:rsid w:val="00955F09"/>
    <w:rsid w:val="0095630B"/>
    <w:rsid w:val="00956A61"/>
    <w:rsid w:val="00956EAC"/>
    <w:rsid w:val="00956EBB"/>
    <w:rsid w:val="00957353"/>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47C5"/>
    <w:rsid w:val="00996186"/>
    <w:rsid w:val="0099731F"/>
    <w:rsid w:val="009974D8"/>
    <w:rsid w:val="009978E3"/>
    <w:rsid w:val="0099797E"/>
    <w:rsid w:val="009A0750"/>
    <w:rsid w:val="009A0BFA"/>
    <w:rsid w:val="009A0EDC"/>
    <w:rsid w:val="009A0FDF"/>
    <w:rsid w:val="009A150B"/>
    <w:rsid w:val="009A1A8B"/>
    <w:rsid w:val="009A2CE0"/>
    <w:rsid w:val="009A2FD3"/>
    <w:rsid w:val="009A3970"/>
    <w:rsid w:val="009A3A41"/>
    <w:rsid w:val="009A3C45"/>
    <w:rsid w:val="009A4651"/>
    <w:rsid w:val="009A4889"/>
    <w:rsid w:val="009A49A2"/>
    <w:rsid w:val="009A4A14"/>
    <w:rsid w:val="009A4D02"/>
    <w:rsid w:val="009A4ECF"/>
    <w:rsid w:val="009A4FA6"/>
    <w:rsid w:val="009A52AF"/>
    <w:rsid w:val="009A5423"/>
    <w:rsid w:val="009A5C87"/>
    <w:rsid w:val="009A6589"/>
    <w:rsid w:val="009A6705"/>
    <w:rsid w:val="009A6D3B"/>
    <w:rsid w:val="009A7566"/>
    <w:rsid w:val="009A7F3D"/>
    <w:rsid w:val="009B0165"/>
    <w:rsid w:val="009B15FC"/>
    <w:rsid w:val="009B17EC"/>
    <w:rsid w:val="009B1B07"/>
    <w:rsid w:val="009B1CE7"/>
    <w:rsid w:val="009B272D"/>
    <w:rsid w:val="009B2851"/>
    <w:rsid w:val="009B2B87"/>
    <w:rsid w:val="009B2DD8"/>
    <w:rsid w:val="009B35CE"/>
    <w:rsid w:val="009B3BAB"/>
    <w:rsid w:val="009B3F7F"/>
    <w:rsid w:val="009B4660"/>
    <w:rsid w:val="009B4B74"/>
    <w:rsid w:val="009B58CE"/>
    <w:rsid w:val="009B5CB9"/>
    <w:rsid w:val="009B5FD1"/>
    <w:rsid w:val="009B6076"/>
    <w:rsid w:val="009B6664"/>
    <w:rsid w:val="009B7262"/>
    <w:rsid w:val="009B73C3"/>
    <w:rsid w:val="009B73DC"/>
    <w:rsid w:val="009B78F6"/>
    <w:rsid w:val="009B7D34"/>
    <w:rsid w:val="009C04FC"/>
    <w:rsid w:val="009C090D"/>
    <w:rsid w:val="009C1EC1"/>
    <w:rsid w:val="009C1F02"/>
    <w:rsid w:val="009C22CD"/>
    <w:rsid w:val="009C235C"/>
    <w:rsid w:val="009C25C6"/>
    <w:rsid w:val="009C2D78"/>
    <w:rsid w:val="009C3231"/>
    <w:rsid w:val="009C3935"/>
    <w:rsid w:val="009C4524"/>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603E"/>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0C2"/>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0CB"/>
    <w:rsid w:val="00A101DB"/>
    <w:rsid w:val="00A10564"/>
    <w:rsid w:val="00A10771"/>
    <w:rsid w:val="00A1083F"/>
    <w:rsid w:val="00A10923"/>
    <w:rsid w:val="00A10B2B"/>
    <w:rsid w:val="00A10D63"/>
    <w:rsid w:val="00A12889"/>
    <w:rsid w:val="00A130A8"/>
    <w:rsid w:val="00A13382"/>
    <w:rsid w:val="00A13D4D"/>
    <w:rsid w:val="00A14009"/>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8DF"/>
    <w:rsid w:val="00A2732D"/>
    <w:rsid w:val="00A2770C"/>
    <w:rsid w:val="00A2794D"/>
    <w:rsid w:val="00A27A6E"/>
    <w:rsid w:val="00A300BA"/>
    <w:rsid w:val="00A3037E"/>
    <w:rsid w:val="00A3069E"/>
    <w:rsid w:val="00A30A00"/>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7D6"/>
    <w:rsid w:val="00A44C07"/>
    <w:rsid w:val="00A44F91"/>
    <w:rsid w:val="00A44FB0"/>
    <w:rsid w:val="00A4541A"/>
    <w:rsid w:val="00A45827"/>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472D"/>
    <w:rsid w:val="00A6515D"/>
    <w:rsid w:val="00A658EA"/>
    <w:rsid w:val="00A65A23"/>
    <w:rsid w:val="00A66AFB"/>
    <w:rsid w:val="00A66C74"/>
    <w:rsid w:val="00A67063"/>
    <w:rsid w:val="00A6754A"/>
    <w:rsid w:val="00A67790"/>
    <w:rsid w:val="00A67A73"/>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3C8"/>
    <w:rsid w:val="00A921A3"/>
    <w:rsid w:val="00A92846"/>
    <w:rsid w:val="00A932B8"/>
    <w:rsid w:val="00A93EAF"/>
    <w:rsid w:val="00A94489"/>
    <w:rsid w:val="00A9451F"/>
    <w:rsid w:val="00A94AA7"/>
    <w:rsid w:val="00A952EA"/>
    <w:rsid w:val="00A958A5"/>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03D3"/>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308"/>
    <w:rsid w:val="00AC540F"/>
    <w:rsid w:val="00AC5532"/>
    <w:rsid w:val="00AC57FF"/>
    <w:rsid w:val="00AC58B4"/>
    <w:rsid w:val="00AC6218"/>
    <w:rsid w:val="00AC69EC"/>
    <w:rsid w:val="00AC6C3A"/>
    <w:rsid w:val="00AC6F0E"/>
    <w:rsid w:val="00AC7012"/>
    <w:rsid w:val="00AC70FA"/>
    <w:rsid w:val="00AC7397"/>
    <w:rsid w:val="00AC7471"/>
    <w:rsid w:val="00AC7E61"/>
    <w:rsid w:val="00AD032F"/>
    <w:rsid w:val="00AD10BC"/>
    <w:rsid w:val="00AD12D5"/>
    <w:rsid w:val="00AD14F4"/>
    <w:rsid w:val="00AD2DF4"/>
    <w:rsid w:val="00AD3125"/>
    <w:rsid w:val="00AD3FF9"/>
    <w:rsid w:val="00AD4370"/>
    <w:rsid w:val="00AD45F7"/>
    <w:rsid w:val="00AD4B34"/>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1FA"/>
    <w:rsid w:val="00AE22A6"/>
    <w:rsid w:val="00AE2DBB"/>
    <w:rsid w:val="00AE3EE8"/>
    <w:rsid w:val="00AE408D"/>
    <w:rsid w:val="00AE4679"/>
    <w:rsid w:val="00AE4AD6"/>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56DB"/>
    <w:rsid w:val="00AF5718"/>
    <w:rsid w:val="00AF5D37"/>
    <w:rsid w:val="00AF5EA2"/>
    <w:rsid w:val="00AF66EB"/>
    <w:rsid w:val="00AF6CB1"/>
    <w:rsid w:val="00AF6D07"/>
    <w:rsid w:val="00AF7987"/>
    <w:rsid w:val="00AF7A7E"/>
    <w:rsid w:val="00B004FF"/>
    <w:rsid w:val="00B01117"/>
    <w:rsid w:val="00B01316"/>
    <w:rsid w:val="00B0143C"/>
    <w:rsid w:val="00B01816"/>
    <w:rsid w:val="00B01C49"/>
    <w:rsid w:val="00B01F5F"/>
    <w:rsid w:val="00B02A92"/>
    <w:rsid w:val="00B02EA7"/>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CEB"/>
    <w:rsid w:val="00B35DD5"/>
    <w:rsid w:val="00B360DF"/>
    <w:rsid w:val="00B3679E"/>
    <w:rsid w:val="00B36AB7"/>
    <w:rsid w:val="00B37E7C"/>
    <w:rsid w:val="00B37F76"/>
    <w:rsid w:val="00B4047B"/>
    <w:rsid w:val="00B409AF"/>
    <w:rsid w:val="00B40C74"/>
    <w:rsid w:val="00B413BD"/>
    <w:rsid w:val="00B432A5"/>
    <w:rsid w:val="00B43B86"/>
    <w:rsid w:val="00B43F9C"/>
    <w:rsid w:val="00B440E8"/>
    <w:rsid w:val="00B45E6D"/>
    <w:rsid w:val="00B46047"/>
    <w:rsid w:val="00B47227"/>
    <w:rsid w:val="00B509FF"/>
    <w:rsid w:val="00B51759"/>
    <w:rsid w:val="00B5194E"/>
    <w:rsid w:val="00B5226E"/>
    <w:rsid w:val="00B525A2"/>
    <w:rsid w:val="00B529C2"/>
    <w:rsid w:val="00B529E0"/>
    <w:rsid w:val="00B53267"/>
    <w:rsid w:val="00B53AE9"/>
    <w:rsid w:val="00B53B6F"/>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2D40"/>
    <w:rsid w:val="00B63934"/>
    <w:rsid w:val="00B6412B"/>
    <w:rsid w:val="00B64F9D"/>
    <w:rsid w:val="00B65037"/>
    <w:rsid w:val="00B65EA0"/>
    <w:rsid w:val="00B65EBC"/>
    <w:rsid w:val="00B66188"/>
    <w:rsid w:val="00B66946"/>
    <w:rsid w:val="00B66EC0"/>
    <w:rsid w:val="00B71F19"/>
    <w:rsid w:val="00B72124"/>
    <w:rsid w:val="00B72140"/>
    <w:rsid w:val="00B7287D"/>
    <w:rsid w:val="00B72EE7"/>
    <w:rsid w:val="00B731AB"/>
    <w:rsid w:val="00B743FA"/>
    <w:rsid w:val="00B7441F"/>
    <w:rsid w:val="00B745E0"/>
    <w:rsid w:val="00B755FD"/>
    <w:rsid w:val="00B75701"/>
    <w:rsid w:val="00B75E83"/>
    <w:rsid w:val="00B7605D"/>
    <w:rsid w:val="00B7658D"/>
    <w:rsid w:val="00B76F26"/>
    <w:rsid w:val="00B778AA"/>
    <w:rsid w:val="00B806A3"/>
    <w:rsid w:val="00B81794"/>
    <w:rsid w:val="00B828C2"/>
    <w:rsid w:val="00B82F31"/>
    <w:rsid w:val="00B83E2C"/>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813"/>
    <w:rsid w:val="00B94DD0"/>
    <w:rsid w:val="00B95415"/>
    <w:rsid w:val="00B9579A"/>
    <w:rsid w:val="00B96009"/>
    <w:rsid w:val="00B977B0"/>
    <w:rsid w:val="00B97FF5"/>
    <w:rsid w:val="00BA0273"/>
    <w:rsid w:val="00BA0B91"/>
    <w:rsid w:val="00BA136D"/>
    <w:rsid w:val="00BA18D2"/>
    <w:rsid w:val="00BA1F9A"/>
    <w:rsid w:val="00BA216E"/>
    <w:rsid w:val="00BA286B"/>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60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69EA"/>
    <w:rsid w:val="00BF6D33"/>
    <w:rsid w:val="00BF6F14"/>
    <w:rsid w:val="00C00BF2"/>
    <w:rsid w:val="00C00F79"/>
    <w:rsid w:val="00C01B14"/>
    <w:rsid w:val="00C021AE"/>
    <w:rsid w:val="00C02B0A"/>
    <w:rsid w:val="00C0358E"/>
    <w:rsid w:val="00C036B6"/>
    <w:rsid w:val="00C04709"/>
    <w:rsid w:val="00C04843"/>
    <w:rsid w:val="00C04A67"/>
    <w:rsid w:val="00C04EC2"/>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7223"/>
    <w:rsid w:val="00C175A7"/>
    <w:rsid w:val="00C175EC"/>
    <w:rsid w:val="00C17896"/>
    <w:rsid w:val="00C179DF"/>
    <w:rsid w:val="00C17BF3"/>
    <w:rsid w:val="00C20582"/>
    <w:rsid w:val="00C205B6"/>
    <w:rsid w:val="00C205E5"/>
    <w:rsid w:val="00C2077A"/>
    <w:rsid w:val="00C208CB"/>
    <w:rsid w:val="00C20C92"/>
    <w:rsid w:val="00C20D53"/>
    <w:rsid w:val="00C21180"/>
    <w:rsid w:val="00C2156B"/>
    <w:rsid w:val="00C2185A"/>
    <w:rsid w:val="00C221C5"/>
    <w:rsid w:val="00C226F3"/>
    <w:rsid w:val="00C227D9"/>
    <w:rsid w:val="00C234BC"/>
    <w:rsid w:val="00C23E40"/>
    <w:rsid w:val="00C24631"/>
    <w:rsid w:val="00C24884"/>
    <w:rsid w:val="00C24980"/>
    <w:rsid w:val="00C24DDB"/>
    <w:rsid w:val="00C2601C"/>
    <w:rsid w:val="00C260C6"/>
    <w:rsid w:val="00C265B6"/>
    <w:rsid w:val="00C27668"/>
    <w:rsid w:val="00C27700"/>
    <w:rsid w:val="00C27713"/>
    <w:rsid w:val="00C278D5"/>
    <w:rsid w:val="00C27D8A"/>
    <w:rsid w:val="00C27F21"/>
    <w:rsid w:val="00C30987"/>
    <w:rsid w:val="00C31031"/>
    <w:rsid w:val="00C317BF"/>
    <w:rsid w:val="00C31E64"/>
    <w:rsid w:val="00C32323"/>
    <w:rsid w:val="00C332D0"/>
    <w:rsid w:val="00C33E87"/>
    <w:rsid w:val="00C3463A"/>
    <w:rsid w:val="00C346C4"/>
    <w:rsid w:val="00C36380"/>
    <w:rsid w:val="00C3757A"/>
    <w:rsid w:val="00C37693"/>
    <w:rsid w:val="00C40325"/>
    <w:rsid w:val="00C406A9"/>
    <w:rsid w:val="00C40FC6"/>
    <w:rsid w:val="00C415A3"/>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7D7"/>
    <w:rsid w:val="00C52CCA"/>
    <w:rsid w:val="00C541D2"/>
    <w:rsid w:val="00C5583C"/>
    <w:rsid w:val="00C56694"/>
    <w:rsid w:val="00C571F6"/>
    <w:rsid w:val="00C5751B"/>
    <w:rsid w:val="00C57599"/>
    <w:rsid w:val="00C60121"/>
    <w:rsid w:val="00C61299"/>
    <w:rsid w:val="00C615C8"/>
    <w:rsid w:val="00C615D4"/>
    <w:rsid w:val="00C619D0"/>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6D8A"/>
    <w:rsid w:val="00C66FA5"/>
    <w:rsid w:val="00C67146"/>
    <w:rsid w:val="00C67A10"/>
    <w:rsid w:val="00C67B98"/>
    <w:rsid w:val="00C70324"/>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52DA"/>
    <w:rsid w:val="00C95B50"/>
    <w:rsid w:val="00C96481"/>
    <w:rsid w:val="00C96F10"/>
    <w:rsid w:val="00C9709A"/>
    <w:rsid w:val="00C97B0A"/>
    <w:rsid w:val="00CA07A1"/>
    <w:rsid w:val="00CA09C2"/>
    <w:rsid w:val="00CA18B4"/>
    <w:rsid w:val="00CA2571"/>
    <w:rsid w:val="00CA32C9"/>
    <w:rsid w:val="00CA3369"/>
    <w:rsid w:val="00CA3710"/>
    <w:rsid w:val="00CA3E15"/>
    <w:rsid w:val="00CA3F59"/>
    <w:rsid w:val="00CA406D"/>
    <w:rsid w:val="00CA505E"/>
    <w:rsid w:val="00CA519A"/>
    <w:rsid w:val="00CA5289"/>
    <w:rsid w:val="00CA5709"/>
    <w:rsid w:val="00CA5922"/>
    <w:rsid w:val="00CA5CE8"/>
    <w:rsid w:val="00CA6A11"/>
    <w:rsid w:val="00CA786D"/>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46F"/>
    <w:rsid w:val="00CD0B68"/>
    <w:rsid w:val="00CD0C1B"/>
    <w:rsid w:val="00CD0EF0"/>
    <w:rsid w:val="00CD1232"/>
    <w:rsid w:val="00CD1517"/>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644"/>
    <w:rsid w:val="00CE6BE0"/>
    <w:rsid w:val="00CE7474"/>
    <w:rsid w:val="00CE769B"/>
    <w:rsid w:val="00CE7705"/>
    <w:rsid w:val="00CE7D02"/>
    <w:rsid w:val="00CF010A"/>
    <w:rsid w:val="00CF0714"/>
    <w:rsid w:val="00CF0D80"/>
    <w:rsid w:val="00CF1091"/>
    <w:rsid w:val="00CF1547"/>
    <w:rsid w:val="00CF15DC"/>
    <w:rsid w:val="00CF15DD"/>
    <w:rsid w:val="00CF18B0"/>
    <w:rsid w:val="00CF1DB8"/>
    <w:rsid w:val="00CF1EA4"/>
    <w:rsid w:val="00CF2845"/>
    <w:rsid w:val="00CF285C"/>
    <w:rsid w:val="00CF285D"/>
    <w:rsid w:val="00CF29EA"/>
    <w:rsid w:val="00CF31CC"/>
    <w:rsid w:val="00CF53F3"/>
    <w:rsid w:val="00CF5FDE"/>
    <w:rsid w:val="00CF6388"/>
    <w:rsid w:val="00CF65B9"/>
    <w:rsid w:val="00CF69C5"/>
    <w:rsid w:val="00CF74D0"/>
    <w:rsid w:val="00CF7D73"/>
    <w:rsid w:val="00D00457"/>
    <w:rsid w:val="00D004D9"/>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790"/>
    <w:rsid w:val="00D108C2"/>
    <w:rsid w:val="00D10B67"/>
    <w:rsid w:val="00D1125C"/>
    <w:rsid w:val="00D1153D"/>
    <w:rsid w:val="00D11BFE"/>
    <w:rsid w:val="00D124F4"/>
    <w:rsid w:val="00D1270F"/>
    <w:rsid w:val="00D132B1"/>
    <w:rsid w:val="00D13415"/>
    <w:rsid w:val="00D13760"/>
    <w:rsid w:val="00D139D2"/>
    <w:rsid w:val="00D13FC2"/>
    <w:rsid w:val="00D1499B"/>
    <w:rsid w:val="00D14C4B"/>
    <w:rsid w:val="00D14C64"/>
    <w:rsid w:val="00D14EE4"/>
    <w:rsid w:val="00D151C6"/>
    <w:rsid w:val="00D15243"/>
    <w:rsid w:val="00D16526"/>
    <w:rsid w:val="00D17CAE"/>
    <w:rsid w:val="00D17E74"/>
    <w:rsid w:val="00D200D5"/>
    <w:rsid w:val="00D20290"/>
    <w:rsid w:val="00D20534"/>
    <w:rsid w:val="00D205FA"/>
    <w:rsid w:val="00D20AC1"/>
    <w:rsid w:val="00D21CA2"/>
    <w:rsid w:val="00D21D17"/>
    <w:rsid w:val="00D22234"/>
    <w:rsid w:val="00D22E7A"/>
    <w:rsid w:val="00D23104"/>
    <w:rsid w:val="00D2532D"/>
    <w:rsid w:val="00D26312"/>
    <w:rsid w:val="00D26419"/>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2322"/>
    <w:rsid w:val="00D42465"/>
    <w:rsid w:val="00D42875"/>
    <w:rsid w:val="00D42BFA"/>
    <w:rsid w:val="00D42D39"/>
    <w:rsid w:val="00D43670"/>
    <w:rsid w:val="00D4382A"/>
    <w:rsid w:val="00D43F0E"/>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8B8"/>
    <w:rsid w:val="00D709A9"/>
    <w:rsid w:val="00D70BD9"/>
    <w:rsid w:val="00D70C5A"/>
    <w:rsid w:val="00D717A6"/>
    <w:rsid w:val="00D72631"/>
    <w:rsid w:val="00D72BC8"/>
    <w:rsid w:val="00D7361F"/>
    <w:rsid w:val="00D73ED1"/>
    <w:rsid w:val="00D7407A"/>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2DC9"/>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C11"/>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AB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0A25"/>
    <w:rsid w:val="00DD1A37"/>
    <w:rsid w:val="00DD3749"/>
    <w:rsid w:val="00DD3804"/>
    <w:rsid w:val="00DD394C"/>
    <w:rsid w:val="00DD3F58"/>
    <w:rsid w:val="00DD4841"/>
    <w:rsid w:val="00DD48D9"/>
    <w:rsid w:val="00DD639C"/>
    <w:rsid w:val="00DD6477"/>
    <w:rsid w:val="00DD779D"/>
    <w:rsid w:val="00DD7F58"/>
    <w:rsid w:val="00DE06AD"/>
    <w:rsid w:val="00DE0857"/>
    <w:rsid w:val="00DE08D5"/>
    <w:rsid w:val="00DE0B03"/>
    <w:rsid w:val="00DE11A9"/>
    <w:rsid w:val="00DE1281"/>
    <w:rsid w:val="00DE13D5"/>
    <w:rsid w:val="00DE2228"/>
    <w:rsid w:val="00DE2400"/>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5E69"/>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0B5C"/>
    <w:rsid w:val="00E11557"/>
    <w:rsid w:val="00E11966"/>
    <w:rsid w:val="00E12074"/>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8E3"/>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0E44"/>
    <w:rsid w:val="00E41CE3"/>
    <w:rsid w:val="00E423DD"/>
    <w:rsid w:val="00E42634"/>
    <w:rsid w:val="00E4279C"/>
    <w:rsid w:val="00E42949"/>
    <w:rsid w:val="00E43707"/>
    <w:rsid w:val="00E43F2F"/>
    <w:rsid w:val="00E44342"/>
    <w:rsid w:val="00E4441F"/>
    <w:rsid w:val="00E44511"/>
    <w:rsid w:val="00E445A8"/>
    <w:rsid w:val="00E44EE4"/>
    <w:rsid w:val="00E452C7"/>
    <w:rsid w:val="00E4542B"/>
    <w:rsid w:val="00E47AB0"/>
    <w:rsid w:val="00E47FAB"/>
    <w:rsid w:val="00E47FC1"/>
    <w:rsid w:val="00E5024B"/>
    <w:rsid w:val="00E50868"/>
    <w:rsid w:val="00E50C8F"/>
    <w:rsid w:val="00E50CF3"/>
    <w:rsid w:val="00E517C8"/>
    <w:rsid w:val="00E51BC1"/>
    <w:rsid w:val="00E52A37"/>
    <w:rsid w:val="00E538DB"/>
    <w:rsid w:val="00E53C5E"/>
    <w:rsid w:val="00E55C8C"/>
    <w:rsid w:val="00E5602F"/>
    <w:rsid w:val="00E57376"/>
    <w:rsid w:val="00E5762C"/>
    <w:rsid w:val="00E57DCB"/>
    <w:rsid w:val="00E602B8"/>
    <w:rsid w:val="00E6138F"/>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C94"/>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C78"/>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4E0"/>
    <w:rsid w:val="00EB3778"/>
    <w:rsid w:val="00EB3806"/>
    <w:rsid w:val="00EB3C09"/>
    <w:rsid w:val="00EB420B"/>
    <w:rsid w:val="00EB43BD"/>
    <w:rsid w:val="00EB5C05"/>
    <w:rsid w:val="00EB668F"/>
    <w:rsid w:val="00EB6AC7"/>
    <w:rsid w:val="00EB6EEC"/>
    <w:rsid w:val="00EB793A"/>
    <w:rsid w:val="00EC0175"/>
    <w:rsid w:val="00EC0588"/>
    <w:rsid w:val="00EC0985"/>
    <w:rsid w:val="00EC0C2B"/>
    <w:rsid w:val="00EC1777"/>
    <w:rsid w:val="00EC1D8C"/>
    <w:rsid w:val="00EC2383"/>
    <w:rsid w:val="00EC291E"/>
    <w:rsid w:val="00EC2D3A"/>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D28"/>
    <w:rsid w:val="00ED1E4C"/>
    <w:rsid w:val="00ED33CC"/>
    <w:rsid w:val="00ED3CFA"/>
    <w:rsid w:val="00ED444D"/>
    <w:rsid w:val="00ED5874"/>
    <w:rsid w:val="00ED59E8"/>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D15"/>
    <w:rsid w:val="00EE5CAB"/>
    <w:rsid w:val="00EE674F"/>
    <w:rsid w:val="00EE6981"/>
    <w:rsid w:val="00EE71D6"/>
    <w:rsid w:val="00EF058F"/>
    <w:rsid w:val="00EF05CA"/>
    <w:rsid w:val="00EF152A"/>
    <w:rsid w:val="00EF155D"/>
    <w:rsid w:val="00EF1FF7"/>
    <w:rsid w:val="00EF20D5"/>
    <w:rsid w:val="00EF366C"/>
    <w:rsid w:val="00EF3C15"/>
    <w:rsid w:val="00EF4CDF"/>
    <w:rsid w:val="00EF54A2"/>
    <w:rsid w:val="00EF5F75"/>
    <w:rsid w:val="00EF6276"/>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3E3"/>
    <w:rsid w:val="00F077AB"/>
    <w:rsid w:val="00F07953"/>
    <w:rsid w:val="00F079C2"/>
    <w:rsid w:val="00F07A7A"/>
    <w:rsid w:val="00F07B6F"/>
    <w:rsid w:val="00F10B01"/>
    <w:rsid w:val="00F11219"/>
    <w:rsid w:val="00F11D82"/>
    <w:rsid w:val="00F12176"/>
    <w:rsid w:val="00F12617"/>
    <w:rsid w:val="00F12E37"/>
    <w:rsid w:val="00F12FCC"/>
    <w:rsid w:val="00F1313D"/>
    <w:rsid w:val="00F13270"/>
    <w:rsid w:val="00F138D8"/>
    <w:rsid w:val="00F140B0"/>
    <w:rsid w:val="00F14195"/>
    <w:rsid w:val="00F1436C"/>
    <w:rsid w:val="00F1468E"/>
    <w:rsid w:val="00F146FB"/>
    <w:rsid w:val="00F1484C"/>
    <w:rsid w:val="00F14E2F"/>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B38"/>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0D6E"/>
    <w:rsid w:val="00F31521"/>
    <w:rsid w:val="00F31692"/>
    <w:rsid w:val="00F31819"/>
    <w:rsid w:val="00F31B07"/>
    <w:rsid w:val="00F31D60"/>
    <w:rsid w:val="00F326B6"/>
    <w:rsid w:val="00F32C8F"/>
    <w:rsid w:val="00F32FFE"/>
    <w:rsid w:val="00F334D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764"/>
    <w:rsid w:val="00F37AAE"/>
    <w:rsid w:val="00F37F06"/>
    <w:rsid w:val="00F4013A"/>
    <w:rsid w:val="00F40694"/>
    <w:rsid w:val="00F418FD"/>
    <w:rsid w:val="00F419B0"/>
    <w:rsid w:val="00F41E83"/>
    <w:rsid w:val="00F42BC0"/>
    <w:rsid w:val="00F4303D"/>
    <w:rsid w:val="00F430C5"/>
    <w:rsid w:val="00F4323C"/>
    <w:rsid w:val="00F437E7"/>
    <w:rsid w:val="00F448B3"/>
    <w:rsid w:val="00F448EE"/>
    <w:rsid w:val="00F4544E"/>
    <w:rsid w:val="00F455A9"/>
    <w:rsid w:val="00F456E2"/>
    <w:rsid w:val="00F45965"/>
    <w:rsid w:val="00F45BE9"/>
    <w:rsid w:val="00F460B1"/>
    <w:rsid w:val="00F4672D"/>
    <w:rsid w:val="00F470E9"/>
    <w:rsid w:val="00F50A2B"/>
    <w:rsid w:val="00F50F32"/>
    <w:rsid w:val="00F5130D"/>
    <w:rsid w:val="00F5187D"/>
    <w:rsid w:val="00F52690"/>
    <w:rsid w:val="00F52BE4"/>
    <w:rsid w:val="00F53740"/>
    <w:rsid w:val="00F53A5A"/>
    <w:rsid w:val="00F550AE"/>
    <w:rsid w:val="00F553CD"/>
    <w:rsid w:val="00F555AF"/>
    <w:rsid w:val="00F55F6C"/>
    <w:rsid w:val="00F56228"/>
    <w:rsid w:val="00F5634A"/>
    <w:rsid w:val="00F56A52"/>
    <w:rsid w:val="00F56CD4"/>
    <w:rsid w:val="00F577C7"/>
    <w:rsid w:val="00F57822"/>
    <w:rsid w:val="00F60331"/>
    <w:rsid w:val="00F609D9"/>
    <w:rsid w:val="00F60E51"/>
    <w:rsid w:val="00F62B53"/>
    <w:rsid w:val="00F62CBF"/>
    <w:rsid w:val="00F62E10"/>
    <w:rsid w:val="00F63633"/>
    <w:rsid w:val="00F63A73"/>
    <w:rsid w:val="00F654BA"/>
    <w:rsid w:val="00F65E8D"/>
    <w:rsid w:val="00F66838"/>
    <w:rsid w:val="00F66F1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AC5"/>
    <w:rsid w:val="00F80466"/>
    <w:rsid w:val="00F8195E"/>
    <w:rsid w:val="00F8199C"/>
    <w:rsid w:val="00F8202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835"/>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CC"/>
    <w:rsid w:val="00FD33DB"/>
    <w:rsid w:val="00FD3C7F"/>
    <w:rsid w:val="00FD5200"/>
    <w:rsid w:val="00FD52B3"/>
    <w:rsid w:val="00FD5741"/>
    <w:rsid w:val="00FD5C90"/>
    <w:rsid w:val="00FD6460"/>
    <w:rsid w:val="00FD6525"/>
    <w:rsid w:val="00FD6934"/>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0E08"/>
    <w:rsid w:val="00FF2554"/>
    <w:rsid w:val="00FF2DE2"/>
    <w:rsid w:val="00FF357A"/>
    <w:rsid w:val="00FF37B3"/>
    <w:rsid w:val="00FF46C1"/>
    <w:rsid w:val="00FF487F"/>
    <w:rsid w:val="00FF4BEE"/>
    <w:rsid w:val="00FF5DA7"/>
    <w:rsid w:val="00FF65EE"/>
    <w:rsid w:val="00FF6932"/>
    <w:rsid w:val="00FF6CF5"/>
    <w:rsid w:val="00FF6DE8"/>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标题 2"/>
    <w:basedOn w:val="10"/>
    <w:next w:val="a"/>
    <w:link w:val="20"/>
    <w:uiPriority w:val="9"/>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标题"/>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标题 4"/>
    <w:basedOn w:val="30"/>
    <w:next w:val="a"/>
    <w:link w:val="41"/>
    <w:uiPriority w:val="9"/>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
    <w:qFormat/>
    <w:rsid w:val="00F1468E"/>
    <w:pPr>
      <w:numPr>
        <w:ilvl w:val="5"/>
      </w:numPr>
      <w:outlineLvl w:val="4"/>
    </w:pPr>
    <w:rPr>
      <w:sz w:val="22"/>
    </w:rPr>
  </w:style>
  <w:style w:type="paragraph" w:styleId="6">
    <w:name w:val="heading 6"/>
    <w:aliases w:val="T1,Header 6"/>
    <w:basedOn w:val="H6"/>
    <w:next w:val="a"/>
    <w:link w:val="60"/>
    <w:uiPriority w:val="9"/>
    <w:qFormat/>
    <w:rsid w:val="00F1468E"/>
    <w:pPr>
      <w:outlineLvl w:val="5"/>
    </w:pPr>
  </w:style>
  <w:style w:type="paragraph" w:styleId="7">
    <w:name w:val="heading 7"/>
    <w:basedOn w:val="H6"/>
    <w:next w:val="a"/>
    <w:link w:val="70"/>
    <w:uiPriority w:val="9"/>
    <w:qFormat/>
    <w:rsid w:val="00F1468E"/>
    <w:pPr>
      <w:numPr>
        <w:ilvl w:val="6"/>
      </w:numPr>
      <w:outlineLvl w:val="6"/>
    </w:pPr>
  </w:style>
  <w:style w:type="paragraph" w:styleId="8">
    <w:name w:val="heading 8"/>
    <w:basedOn w:val="10"/>
    <w:next w:val="a"/>
    <w:link w:val="80"/>
    <w:uiPriority w:val="9"/>
    <w:qFormat/>
    <w:rsid w:val="00F1468E"/>
    <w:pPr>
      <w:numPr>
        <w:ilvl w:val="7"/>
      </w:numPr>
      <w:outlineLvl w:val="7"/>
    </w:pPr>
  </w:style>
  <w:style w:type="paragraph" w:styleId="9">
    <w:name w:val="heading 9"/>
    <w:basedOn w:val="8"/>
    <w:next w:val="a"/>
    <w:link w:val="90"/>
    <w:uiPriority w:val="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RAN1text">
    <w:name w:val="RAN1 text"/>
    <w:basedOn w:val="af3"/>
    <w:link w:val="RAN1textChar"/>
    <w:qFormat/>
    <w:rsid w:val="00647BB8"/>
    <w:pPr>
      <w:widowControl/>
      <w:spacing w:after="0"/>
      <w:jc w:val="both"/>
    </w:pPr>
    <w:rPr>
      <w:sz w:val="20"/>
      <w:szCs w:val="24"/>
    </w:rPr>
  </w:style>
  <w:style w:type="character" w:customStyle="1" w:styleId="RAN1textChar">
    <w:name w:val="RAN1 text Char"/>
    <w:link w:val="RAN1text"/>
    <w:rsid w:val="00647BB8"/>
    <w:rPr>
      <w:rFonts w:ascii="Times New Roman" w:hAnsi="Times New Roman"/>
      <w:szCs w:val="24"/>
      <w:lang w:val="x-none" w:eastAsia="x-none"/>
    </w:rPr>
  </w:style>
  <w:style w:type="paragraph" w:customStyle="1" w:styleId="RAN1bullet1">
    <w:name w:val="RAN1 bullet1"/>
    <w:basedOn w:val="a"/>
    <w:link w:val="RAN1bullet1Char"/>
    <w:qFormat/>
    <w:rsid w:val="00647BB8"/>
    <w:pPr>
      <w:numPr>
        <w:numId w:val="11"/>
      </w:numPr>
      <w:spacing w:after="0"/>
    </w:pPr>
    <w:rPr>
      <w:rFonts w:ascii="Times" w:eastAsia="Batang" w:hAnsi="Times"/>
      <w:szCs w:val="24"/>
      <w:lang w:eastAsia="x-none"/>
    </w:rPr>
  </w:style>
  <w:style w:type="character" w:customStyle="1" w:styleId="RAN1bullet1Char">
    <w:name w:val="RAN1 bullet1 Char"/>
    <w:link w:val="RAN1bullet1"/>
    <w:rsid w:val="00647BB8"/>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标题 2"/>
    <w:basedOn w:val="10"/>
    <w:next w:val="a"/>
    <w:link w:val="20"/>
    <w:uiPriority w:val="9"/>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标题"/>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标题 4"/>
    <w:basedOn w:val="30"/>
    <w:next w:val="a"/>
    <w:link w:val="41"/>
    <w:uiPriority w:val="9"/>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
    <w:qFormat/>
    <w:rsid w:val="00F1468E"/>
    <w:pPr>
      <w:numPr>
        <w:ilvl w:val="5"/>
      </w:numPr>
      <w:outlineLvl w:val="4"/>
    </w:pPr>
    <w:rPr>
      <w:sz w:val="22"/>
    </w:rPr>
  </w:style>
  <w:style w:type="paragraph" w:styleId="6">
    <w:name w:val="heading 6"/>
    <w:aliases w:val="T1,Header 6"/>
    <w:basedOn w:val="H6"/>
    <w:next w:val="a"/>
    <w:link w:val="60"/>
    <w:uiPriority w:val="9"/>
    <w:qFormat/>
    <w:rsid w:val="00F1468E"/>
    <w:pPr>
      <w:outlineLvl w:val="5"/>
    </w:pPr>
  </w:style>
  <w:style w:type="paragraph" w:styleId="7">
    <w:name w:val="heading 7"/>
    <w:basedOn w:val="H6"/>
    <w:next w:val="a"/>
    <w:link w:val="70"/>
    <w:uiPriority w:val="9"/>
    <w:qFormat/>
    <w:rsid w:val="00F1468E"/>
    <w:pPr>
      <w:numPr>
        <w:ilvl w:val="6"/>
      </w:numPr>
      <w:outlineLvl w:val="6"/>
    </w:pPr>
  </w:style>
  <w:style w:type="paragraph" w:styleId="8">
    <w:name w:val="heading 8"/>
    <w:basedOn w:val="10"/>
    <w:next w:val="a"/>
    <w:link w:val="80"/>
    <w:uiPriority w:val="9"/>
    <w:qFormat/>
    <w:rsid w:val="00F1468E"/>
    <w:pPr>
      <w:numPr>
        <w:ilvl w:val="7"/>
      </w:numPr>
      <w:outlineLvl w:val="7"/>
    </w:pPr>
  </w:style>
  <w:style w:type="paragraph" w:styleId="9">
    <w:name w:val="heading 9"/>
    <w:basedOn w:val="8"/>
    <w:next w:val="a"/>
    <w:link w:val="90"/>
    <w:uiPriority w:val="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RAN1text">
    <w:name w:val="RAN1 text"/>
    <w:basedOn w:val="af3"/>
    <w:link w:val="RAN1textChar"/>
    <w:qFormat/>
    <w:rsid w:val="00647BB8"/>
    <w:pPr>
      <w:widowControl/>
      <w:spacing w:after="0"/>
      <w:jc w:val="both"/>
    </w:pPr>
    <w:rPr>
      <w:sz w:val="20"/>
      <w:szCs w:val="24"/>
    </w:rPr>
  </w:style>
  <w:style w:type="character" w:customStyle="1" w:styleId="RAN1textChar">
    <w:name w:val="RAN1 text Char"/>
    <w:link w:val="RAN1text"/>
    <w:rsid w:val="00647BB8"/>
    <w:rPr>
      <w:rFonts w:ascii="Times New Roman" w:hAnsi="Times New Roman"/>
      <w:szCs w:val="24"/>
      <w:lang w:val="x-none" w:eastAsia="x-none"/>
    </w:rPr>
  </w:style>
  <w:style w:type="paragraph" w:customStyle="1" w:styleId="RAN1bullet1">
    <w:name w:val="RAN1 bullet1"/>
    <w:basedOn w:val="a"/>
    <w:link w:val="RAN1bullet1Char"/>
    <w:qFormat/>
    <w:rsid w:val="00647BB8"/>
    <w:pPr>
      <w:numPr>
        <w:numId w:val="11"/>
      </w:numPr>
      <w:spacing w:after="0"/>
    </w:pPr>
    <w:rPr>
      <w:rFonts w:ascii="Times" w:eastAsia="Batang" w:hAnsi="Times"/>
      <w:szCs w:val="24"/>
      <w:lang w:eastAsia="x-none"/>
    </w:rPr>
  </w:style>
  <w:style w:type="character" w:customStyle="1" w:styleId="RAN1bullet1Char">
    <w:name w:val="RAN1 bullet1 Char"/>
    <w:link w:val="RAN1bullet1"/>
    <w:rsid w:val="00647BB8"/>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oleObject" Target="embeddings/oleObject2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image" Target="media/image23.wmf"/><Relationship Id="rId61"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oleObject" Target="embeddings/oleObject27.bin"/><Relationship Id="rId8" Type="http://schemas.openxmlformats.org/officeDocument/2006/relationships/image" Target="media/image1.wmf"/><Relationship Id="rId51" Type="http://schemas.openxmlformats.org/officeDocument/2006/relationships/oleObject" Target="embeddings/oleObject24.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897</TotalTime>
  <Pages>3</Pages>
  <Words>813</Words>
  <Characters>4638</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136</cp:revision>
  <cp:lastPrinted>2017-09-27T05:41:00Z</cp:lastPrinted>
  <dcterms:created xsi:type="dcterms:W3CDTF">2017-08-02T02:49:00Z</dcterms:created>
  <dcterms:modified xsi:type="dcterms:W3CDTF">2017-11-17T07:30:00Z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